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12" w:rsidRDefault="00C32995">
      <w:pPr>
        <w:spacing w:line="320" w:lineRule="atLeast"/>
        <w:jc w:val="center"/>
        <w:rPr>
          <w:rFonts w:ascii="汉仪琥珀体简" w:eastAsia="汉仪琥珀体简" w:hAnsi="汉仪琥珀体简"/>
          <w:b/>
          <w:w w:val="130"/>
          <w:sz w:val="80"/>
          <w:szCs w:val="80"/>
        </w:rPr>
      </w:pPr>
      <w:r>
        <w:rPr>
          <w:rFonts w:ascii="汉仪琥珀体简" w:eastAsia="汉仪琥珀体简" w:hAnsi="汉仪琥珀体简" w:hint="eastAsia"/>
          <w:b/>
          <w:color w:val="FF0000"/>
          <w:w w:val="130"/>
          <w:sz w:val="80"/>
          <w:szCs w:val="80"/>
        </w:rPr>
        <w:t>大数据发展动态</w:t>
      </w:r>
    </w:p>
    <w:p w:rsidR="004D0412" w:rsidRDefault="004D0412">
      <w:pPr>
        <w:spacing w:line="320" w:lineRule="atLeast"/>
        <w:jc w:val="center"/>
        <w:rPr>
          <w:rFonts w:ascii="黑体" w:eastAsia="黑体" w:hAnsi="Gungsuh"/>
          <w:sz w:val="32"/>
          <w:szCs w:val="32"/>
        </w:rPr>
      </w:pPr>
    </w:p>
    <w:p w:rsidR="004D0412" w:rsidRDefault="00C32995">
      <w:pPr>
        <w:spacing w:line="640" w:lineRule="exact"/>
        <w:jc w:val="center"/>
        <w:rPr>
          <w:rFonts w:ascii="仿宋_GB2312" w:eastAsia="仿宋_GB2312" w:hAnsi="宋体"/>
          <w:b/>
          <w:sz w:val="36"/>
          <w:szCs w:val="44"/>
        </w:rPr>
      </w:pPr>
      <w:r>
        <w:rPr>
          <w:rFonts w:ascii="仿宋_GB2312" w:eastAsia="仿宋_GB2312" w:hAnsi="Gungsuh" w:hint="eastAsia"/>
          <w:b/>
          <w:sz w:val="36"/>
          <w:szCs w:val="44"/>
        </w:rPr>
        <w:t>202</w:t>
      </w:r>
      <w:r w:rsidR="00632305">
        <w:rPr>
          <w:rFonts w:ascii="仿宋_GB2312" w:eastAsia="仿宋_GB2312" w:hAnsi="Gungsuh" w:hint="eastAsia"/>
          <w:b/>
          <w:sz w:val="36"/>
          <w:szCs w:val="44"/>
        </w:rPr>
        <w:t>5</w:t>
      </w:r>
      <w:r>
        <w:rPr>
          <w:rFonts w:ascii="仿宋_GB2312" w:eastAsia="仿宋_GB2312" w:hAnsi="Gungsuh" w:hint="eastAsia"/>
          <w:b/>
          <w:sz w:val="36"/>
          <w:szCs w:val="44"/>
        </w:rPr>
        <w:t>年第</w:t>
      </w:r>
      <w:r w:rsidR="002E003E">
        <w:rPr>
          <w:rFonts w:ascii="仿宋_GB2312" w:eastAsia="仿宋_GB2312" w:hAnsi="Gungsuh" w:hint="eastAsia"/>
          <w:b/>
          <w:sz w:val="36"/>
          <w:szCs w:val="44"/>
        </w:rPr>
        <w:t>10</w:t>
      </w:r>
      <w:r>
        <w:rPr>
          <w:rFonts w:ascii="仿宋_GB2312" w:eastAsia="仿宋_GB2312" w:hAnsi="Gungsuh" w:hint="eastAsia"/>
          <w:b/>
          <w:sz w:val="36"/>
          <w:szCs w:val="44"/>
        </w:rPr>
        <w:t>期（</w:t>
      </w:r>
      <w:r>
        <w:rPr>
          <w:rFonts w:ascii="仿宋_GB2312" w:eastAsia="仿宋_GB2312" w:hAnsi="宋体" w:hint="eastAsia"/>
          <w:b/>
          <w:sz w:val="36"/>
          <w:szCs w:val="44"/>
        </w:rPr>
        <w:t>总第</w:t>
      </w:r>
      <w:r w:rsidR="00E54D78">
        <w:rPr>
          <w:rFonts w:ascii="仿宋_GB2312" w:eastAsia="仿宋_GB2312" w:hAnsi="宋体" w:hint="eastAsia"/>
          <w:b/>
          <w:sz w:val="36"/>
          <w:szCs w:val="44"/>
        </w:rPr>
        <w:t>4</w:t>
      </w:r>
      <w:r w:rsidR="00ED70E6">
        <w:rPr>
          <w:rFonts w:ascii="仿宋_GB2312" w:eastAsia="仿宋_GB2312" w:hAnsi="宋体" w:hint="eastAsia"/>
          <w:b/>
          <w:sz w:val="36"/>
          <w:szCs w:val="44"/>
        </w:rPr>
        <w:t>2</w:t>
      </w:r>
      <w:r w:rsidR="002E003E">
        <w:rPr>
          <w:rFonts w:ascii="仿宋_GB2312" w:eastAsia="仿宋_GB2312" w:hAnsi="宋体" w:hint="eastAsia"/>
          <w:b/>
          <w:sz w:val="36"/>
          <w:szCs w:val="44"/>
        </w:rPr>
        <w:t>4</w:t>
      </w:r>
      <w:r>
        <w:rPr>
          <w:rFonts w:ascii="仿宋_GB2312" w:eastAsia="仿宋_GB2312" w:hAnsi="宋体" w:hint="eastAsia"/>
          <w:b/>
          <w:sz w:val="36"/>
          <w:szCs w:val="44"/>
        </w:rPr>
        <w:t>期）</w:t>
      </w:r>
    </w:p>
    <w:p w:rsidR="004D0412" w:rsidRDefault="004D0412">
      <w:pPr>
        <w:spacing w:line="640" w:lineRule="exact"/>
        <w:rPr>
          <w:rFonts w:ascii="仿宋_GB2312" w:eastAsia="仿宋_GB2312" w:hAnsi="Gungsuh"/>
          <w:b/>
          <w:sz w:val="30"/>
          <w:szCs w:val="44"/>
        </w:rPr>
      </w:pPr>
    </w:p>
    <w:p w:rsidR="004D0412" w:rsidRDefault="00C32995">
      <w:pPr>
        <w:spacing w:line="400" w:lineRule="exact"/>
        <w:rPr>
          <w:rFonts w:ascii="仿宋_GB2312" w:eastAsia="仿宋_GB2312" w:hAnsi="Gungsuh"/>
          <w:b/>
          <w:sz w:val="32"/>
          <w:szCs w:val="32"/>
        </w:rPr>
      </w:pPr>
      <w:r>
        <w:rPr>
          <w:rFonts w:ascii="仿宋_GB2312" w:eastAsia="仿宋_GB2312" w:hAnsi="Gungsuh" w:hint="eastAsia"/>
          <w:b/>
          <w:sz w:val="32"/>
          <w:szCs w:val="32"/>
        </w:rPr>
        <w:t xml:space="preserve">贵州省大数据产业发展中心            </w:t>
      </w:r>
      <w:r w:rsidR="00632305">
        <w:rPr>
          <w:rFonts w:ascii="仿宋_GB2312" w:eastAsia="仿宋_GB2312" w:hAnsi="Gungsuh" w:hint="eastAsia"/>
          <w:b/>
          <w:sz w:val="32"/>
          <w:szCs w:val="32"/>
        </w:rPr>
        <w:t xml:space="preserve">  </w:t>
      </w:r>
      <w:r w:rsidR="00585CCE">
        <w:rPr>
          <w:rFonts w:ascii="仿宋_GB2312" w:eastAsia="仿宋_GB2312" w:hAnsi="Gungsuh" w:hint="eastAsia"/>
          <w:b/>
          <w:sz w:val="32"/>
          <w:szCs w:val="32"/>
        </w:rPr>
        <w:t xml:space="preserve"> </w:t>
      </w:r>
      <w:r>
        <w:rPr>
          <w:rFonts w:ascii="仿宋_GB2312" w:eastAsia="仿宋_GB2312" w:hAnsi="Gungsuh" w:hint="eastAsia"/>
          <w:b/>
          <w:sz w:val="32"/>
          <w:szCs w:val="32"/>
        </w:rPr>
        <w:t>202</w:t>
      </w:r>
      <w:r w:rsidR="00632305">
        <w:rPr>
          <w:rFonts w:ascii="仿宋_GB2312" w:eastAsia="仿宋_GB2312" w:hAnsi="Gungsuh" w:hint="eastAsia"/>
          <w:b/>
          <w:sz w:val="32"/>
          <w:szCs w:val="32"/>
        </w:rPr>
        <w:t>5</w:t>
      </w:r>
      <w:r>
        <w:rPr>
          <w:rFonts w:ascii="仿宋_GB2312" w:eastAsia="仿宋_GB2312" w:hAnsi="Gungsuh" w:hint="eastAsia"/>
          <w:b/>
          <w:sz w:val="32"/>
          <w:szCs w:val="32"/>
        </w:rPr>
        <w:t>年</w:t>
      </w:r>
      <w:r w:rsidR="00443136">
        <w:rPr>
          <w:rFonts w:ascii="仿宋_GB2312" w:eastAsia="仿宋_GB2312" w:hAnsi="Gungsuh" w:hint="eastAsia"/>
          <w:b/>
          <w:sz w:val="32"/>
          <w:szCs w:val="32"/>
        </w:rPr>
        <w:t>3</w:t>
      </w:r>
      <w:r>
        <w:rPr>
          <w:rFonts w:ascii="仿宋_GB2312" w:eastAsia="仿宋_GB2312" w:hAnsi="Gungsuh" w:hint="eastAsia"/>
          <w:b/>
          <w:sz w:val="32"/>
          <w:szCs w:val="32"/>
        </w:rPr>
        <w:t>月</w:t>
      </w:r>
      <w:r w:rsidR="002E003E">
        <w:rPr>
          <w:rFonts w:ascii="仿宋_GB2312" w:eastAsia="仿宋_GB2312" w:hAnsi="Gungsuh" w:hint="eastAsia"/>
          <w:b/>
          <w:sz w:val="32"/>
          <w:szCs w:val="32"/>
        </w:rPr>
        <w:t>14</w:t>
      </w:r>
      <w:r>
        <w:rPr>
          <w:rFonts w:ascii="仿宋_GB2312" w:eastAsia="仿宋_GB2312" w:hAnsi="Gungsuh" w:hint="eastAsia"/>
          <w:b/>
          <w:sz w:val="32"/>
          <w:szCs w:val="32"/>
        </w:rPr>
        <w:t>日</w:t>
      </w:r>
    </w:p>
    <w:p w:rsidR="004D0412" w:rsidRDefault="00E93FDD">
      <w:pPr>
        <w:spacing w:line="400" w:lineRule="exact"/>
        <w:rPr>
          <w:rFonts w:ascii="仿宋_GB2312" w:eastAsia="仿宋_GB2312" w:hAnsi="Gungsuh"/>
          <w:b/>
          <w:sz w:val="32"/>
          <w:szCs w:val="32"/>
        </w:rPr>
      </w:pPr>
      <w:r w:rsidRPr="00E93FDD">
        <w:rPr>
          <w:sz w:val="30"/>
        </w:rPr>
        <w:pict>
          <v:line id="_x0000_s1026" style="position:absolute;left:0;text-align:left;z-index:251660288" from="-4.9pt,3.05pt" to="439.65pt,3.1pt" o:gfxdata="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InH6NUAAAAGAQAADwAAAAAAAAABACAAAAAiAAAAZHJzL2Rvd25yZXYu&#10;eG1sUEsBAhQAFAAAAAgAh07iQOcKjZ3+AQAA9QMAAA4AAAAAAAAAAQAgAAAAJAEAAGRycy9lMm9E&#10;b2MueG1sUEsFBgAAAAAGAAYAWQEAAJQFAAAAAA==&#10;" strokecolor="red" strokeweight="2.25pt"/>
        </w:pict>
      </w:r>
      <w:r w:rsidR="00C32995">
        <w:rPr>
          <w:rFonts w:ascii="仿宋_GB2312" w:eastAsia="仿宋_GB2312" w:hAnsi="Gungsuh" w:hint="eastAsia"/>
          <w:b/>
          <w:sz w:val="32"/>
          <w:szCs w:val="32"/>
        </w:rPr>
        <w:t xml:space="preserve"> </w:t>
      </w:r>
    </w:p>
    <w:p w:rsidR="004D0412" w:rsidRDefault="004D041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28"/>
        </w:rPr>
      </w:pPr>
    </w:p>
    <w:p w:rsidR="004D0412" w:rsidRDefault="00C3299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目  录</w:t>
      </w:r>
    </w:p>
    <w:p w:rsidR="004D0412" w:rsidRDefault="00C32995">
      <w:pPr>
        <w:pStyle w:val="1"/>
        <w:keepNext w:val="0"/>
        <w:keepLines w:val="0"/>
        <w:widowControl/>
        <w:spacing w:line="520" w:lineRule="exac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zh-CN"/>
        </w:rPr>
        <w:t>【省内快讯】</w:t>
      </w:r>
    </w:p>
    <w:p w:rsidR="004D0412" w:rsidRDefault="004D0412">
      <w:pPr>
        <w:spacing w:line="160" w:lineRule="exact"/>
        <w:rPr>
          <w:lang w:val="zh-CN"/>
        </w:rPr>
      </w:pPr>
    </w:p>
    <w:p w:rsidR="00902033" w:rsidRDefault="00C32995" w:rsidP="00924DF2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贵阳贵安推进DeepSeek大模型部署应用</w:t>
      </w:r>
    </w:p>
    <w:p w:rsidR="00AC35AB" w:rsidRDefault="00C32995" w:rsidP="00A2119D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遵义市推进白酒产业数据知识产权试点</w:t>
      </w:r>
    </w:p>
    <w:p w:rsidR="00F9509B" w:rsidRDefault="00C32995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欧阳黔森代表：数字赋能红色文旅越新程</w:t>
      </w:r>
    </w:p>
    <w:p w:rsidR="004D0412" w:rsidRDefault="004D0412">
      <w:pPr>
        <w:pStyle w:val="1"/>
        <w:keepNext w:val="0"/>
        <w:keepLines w:val="0"/>
        <w:widowControl/>
        <w:spacing w:line="160" w:lineRule="exac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zh-CN"/>
        </w:rPr>
      </w:pPr>
    </w:p>
    <w:p w:rsidR="004D0412" w:rsidRDefault="00C32995">
      <w:pPr>
        <w:pStyle w:val="1"/>
        <w:keepNext w:val="0"/>
        <w:keepLines w:val="0"/>
        <w:widowControl/>
        <w:spacing w:line="520" w:lineRule="exac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zh-CN"/>
        </w:rPr>
        <w:t>【省外资讯】</w:t>
      </w:r>
    </w:p>
    <w:p w:rsidR="004D0412" w:rsidRDefault="004D0412">
      <w:pPr>
        <w:spacing w:line="160" w:lineRule="exact"/>
        <w:rPr>
          <w:lang w:val="zh-CN"/>
        </w:rPr>
      </w:pPr>
    </w:p>
    <w:p w:rsidR="006D6460" w:rsidRDefault="00C32995" w:rsidP="00FC5781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宁波数字公话亭助力城市数智化转型</w:t>
      </w:r>
    </w:p>
    <w:p w:rsidR="00924DF2" w:rsidRDefault="00924DF2" w:rsidP="00924DF2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济南人工智能算力中心投入运营</w:t>
      </w:r>
    </w:p>
    <w:p w:rsidR="00A12480" w:rsidRDefault="00C32995" w:rsidP="00282F09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广西医科大学成立医学人工智能研究中心</w:t>
      </w:r>
    </w:p>
    <w:p w:rsidR="004D0412" w:rsidRDefault="004D0412" w:rsidP="008169EA">
      <w:pPr>
        <w:pStyle w:val="2"/>
        <w:spacing w:after="0" w:line="460" w:lineRule="exact"/>
        <w:ind w:leftChars="0" w:left="0" w:firstLineChars="0" w:firstLine="0"/>
        <w:jc w:val="left"/>
        <w:rPr>
          <w:rFonts w:ascii="黑体" w:eastAsia="黑体" w:hAnsi="黑体" w:cs="黑体"/>
          <w:sz w:val="32"/>
          <w:szCs w:val="32"/>
          <w:lang w:val="zh-CN"/>
        </w:rPr>
      </w:pPr>
    </w:p>
    <w:p w:rsidR="004D0412" w:rsidRDefault="00C32995">
      <w:pPr>
        <w:pStyle w:val="2"/>
        <w:spacing w:after="0" w:line="520" w:lineRule="exact"/>
        <w:ind w:leftChars="0" w:left="0" w:firstLineChars="0" w:firstLine="0"/>
        <w:jc w:val="lef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【聚焦前沿】</w:t>
      </w:r>
    </w:p>
    <w:p w:rsidR="004D0412" w:rsidRDefault="004D0412">
      <w:pPr>
        <w:pStyle w:val="1"/>
        <w:keepNext w:val="0"/>
        <w:keepLines w:val="0"/>
        <w:widowControl/>
        <w:spacing w:line="160" w:lineRule="exac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zh-CN"/>
        </w:rPr>
      </w:pPr>
    </w:p>
    <w:p w:rsidR="004D0412" w:rsidRDefault="00C32995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国家知识产权公共服务平台上线</w:t>
      </w:r>
    </w:p>
    <w:p w:rsidR="00877C1F" w:rsidRDefault="00C32995" w:rsidP="000E6CF6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我国科学家计划打造“数字肾脏” 让肾脏疾病“清晰可见”</w:t>
      </w:r>
    </w:p>
    <w:p w:rsidR="004D0412" w:rsidRDefault="004D0412" w:rsidP="004A4EBB">
      <w:pPr>
        <w:pStyle w:val="2"/>
        <w:spacing w:after="0" w:line="160" w:lineRule="exact"/>
        <w:ind w:leftChars="0" w:left="0" w:firstLineChars="0" w:firstLine="0"/>
        <w:jc w:val="left"/>
        <w:rPr>
          <w:rFonts w:ascii="黑体" w:eastAsia="黑体" w:hAnsi="黑体" w:cs="黑体"/>
          <w:b/>
          <w:bCs/>
          <w:sz w:val="32"/>
          <w:szCs w:val="32"/>
          <w:lang w:val="zh-CN"/>
        </w:rPr>
      </w:pPr>
    </w:p>
    <w:p w:rsidR="004D0412" w:rsidRDefault="00C32995">
      <w:pPr>
        <w:pStyle w:val="1"/>
        <w:keepNext w:val="0"/>
        <w:keepLines w:val="0"/>
        <w:widowControl/>
        <w:spacing w:line="520" w:lineRule="exac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zh-CN"/>
        </w:rPr>
        <w:t>【环球资讯】</w:t>
      </w:r>
    </w:p>
    <w:p w:rsidR="004D0412" w:rsidRDefault="004D0412">
      <w:pPr>
        <w:spacing w:line="160" w:lineRule="exact"/>
        <w:rPr>
          <w:lang w:val="zh-CN"/>
        </w:rPr>
      </w:pPr>
    </w:p>
    <w:p w:rsidR="000D68D2" w:rsidRDefault="00C32995" w:rsidP="006D6460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&gt;</w:t>
      </w:r>
      <w:r w:rsidR="0075407B" w:rsidRPr="0075407B">
        <w:rPr>
          <w:rFonts w:ascii="仿宋_GB2312" w:hint="eastAsia"/>
          <w:b/>
          <w:bCs/>
          <w:sz w:val="32"/>
          <w:szCs w:val="32"/>
        </w:rPr>
        <w:t>“星际之门”重要进展：即将安装6.4万张GB200</w:t>
      </w:r>
    </w:p>
    <w:p w:rsidR="00F63C4F" w:rsidRDefault="00F63C4F" w:rsidP="006D6460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sz w:val="32"/>
          <w:szCs w:val="32"/>
        </w:rPr>
      </w:pPr>
    </w:p>
    <w:p w:rsidR="00A1728A" w:rsidRDefault="00A1728A" w:rsidP="006D6460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sz w:val="32"/>
          <w:szCs w:val="32"/>
        </w:rPr>
      </w:pPr>
    </w:p>
    <w:p w:rsidR="000F7A1E" w:rsidRDefault="000F7A1E" w:rsidP="006D6460">
      <w:pPr>
        <w:pStyle w:val="2"/>
        <w:spacing w:after="0" w:line="460" w:lineRule="exact"/>
        <w:ind w:leftChars="0" w:left="0" w:firstLineChars="0" w:firstLine="0"/>
        <w:jc w:val="left"/>
        <w:rPr>
          <w:rFonts w:ascii="仿宋_GB2312"/>
          <w:sz w:val="32"/>
          <w:szCs w:val="32"/>
        </w:rPr>
      </w:pP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18A4">
        <w:rPr>
          <w:rFonts w:ascii="方正小标宋简体" w:eastAsia="方正小标宋简体" w:hint="eastAsia"/>
          <w:sz w:val="44"/>
          <w:szCs w:val="44"/>
        </w:rPr>
        <w:lastRenderedPageBreak/>
        <w:t>贵阳贵安推进DeepSeek大模型部署应用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（2025-03-11）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3月7日，记者从贵阳贵安DeepSeek部署应用新闻发布会上获悉，自DeepSeek发布后，贵阳贵安按照“1+3+N”整体布局，全力推进DeepSeek大模型部署与应用，着力培育发展新质生产力。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据介绍，“1+3+N”整体布局是指以“算、数、模、用”一体化支撑平台打造贵阳贵安政务大模型公共服务平台，聚焦赋能政府、企业、群众三大方向，围绕数字政府、数字社会及企业数字化智能化转型打造N个应用场景，推动人工智能在各领域融合应用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自贵阳贵安政务大模型公共服务平台上线以来，实现市、县、乡、村全覆盖，累计提供服务5000余次。平台还接入贵阳城市智能中枢、“爽贵阳”贵阳贵安智慧民生综合服务平台、贵阳人社政务服务平台等，提供个性化服务，为数治贵阳贵安建设插上AI的翅膀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贵阳贵安将紧盯场景、数据、安全三个关键，全力做好DeepSeek人工智能大模型应用推广，加快城市数智化转型步伐。在场景方面，围绕赋能政府、企业、民生，聚焦城市治理、工业质检、乡村振兴等领域，力争在2025年打造100个左右大模型场景；在数据方面，启动高质量数据集打造行动</w:t>
      </w:r>
      <w:r>
        <w:rPr>
          <w:rFonts w:ascii="仿宋_GB2312" w:eastAsia="仿宋_GB2312" w:hint="eastAsia"/>
          <w:sz w:val="32"/>
          <w:szCs w:val="32"/>
        </w:rPr>
        <w:t>,</w:t>
      </w:r>
      <w:r w:rsidRPr="003518A4">
        <w:rPr>
          <w:rFonts w:ascii="仿宋_GB2312" w:eastAsia="仿宋_GB2312" w:hint="eastAsia"/>
          <w:sz w:val="32"/>
          <w:szCs w:val="32"/>
        </w:rPr>
        <w:t>加快打造贵阳贵安城市数据可信数据空间，为DeepSeek大模型应用持续提供高质量数据支撑；在安全方面，会同网信、公安、保密等部门密切配合，重点抓好标准推广应用、政务设施保障、安全产业发展等工作，切实维护大模型应用中的网络安全和数据安全。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在“数字活市”战略引领下，贵阳贵安将坚持以应用场景建设为牵引，持续推动AI赋能政府、赋能企业、赋能群众，用好“+DeepSeek”，进一步拓展“DeepSeek+”，让政府决策更聪明、企业服务更精准、群众生活更便利。</w:t>
      </w:r>
    </w:p>
    <w:p w:rsidR="00E2423D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（来源：贵州日报）</w:t>
      </w:r>
    </w:p>
    <w:p w:rsidR="002E003E" w:rsidRDefault="002E003E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18A4">
        <w:rPr>
          <w:rFonts w:ascii="方正小标宋简体" w:eastAsia="方正小标宋简体" w:hint="eastAsia"/>
          <w:sz w:val="44"/>
          <w:szCs w:val="44"/>
        </w:rPr>
        <w:t>遵义市推进白酒产业数据知识产权试点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（2025-03-08）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近期，贵州省、遵义市知识产权、工业主管部门组织专家对贵州习酒股份有限公司等6家遵义市内白酒生产重点企业，开展数据知识产权试点调研，旨在为全省制定白酒产业数据知识产权试点工作典型奠定基础，推进白酒产业数据知识产权登记和运用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调研组实地考察了企业的生产流程、数据管理平台及知识产权保护体系，详细了解企业在数据知识产权保护、专利与商标管理、数据分析应用等方面的现状与需求，并就相关问题给予专业指导和建议。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据悉，去年，遵义市有5个县（市、区）获批数据知识产权省级试点，并在茶产业数据知识产权登记上率先实现突破，已在农业、技术服务业、旅游业、制造业（含酒、农副食品等）、外卖行业等领域完成了16件数据知识产权登记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（来源：贵州日报）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18A4">
        <w:rPr>
          <w:rFonts w:ascii="方正小标宋简体" w:eastAsia="方正小标宋简体" w:hint="eastAsia"/>
          <w:sz w:val="44"/>
          <w:szCs w:val="44"/>
        </w:rPr>
        <w:t>欧阳黔森代表：数字赋能红色文旅越新程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（2025-03-11）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“贵州在推动红色文化传承与产业融合中形成了独具特色的实践经验。”全国人大代表、贵州省文联主席、贵州省作协主席欧阳黔森谈道。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欧阳黔森介绍，为强化政策与法治保障，贵州出台实施全国首部涉及长征国家文化公园的地方性法规——《贵州省长征国家文化公园条例》，建立红色资源保护联席会议制度，推动红色文旅智慧化、产业化。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近年来，贵州创作生产了《伟大的转折》《红城往事》《浴血困牛山》等红色影视剧，以真挚的笔触再现了革命先烈的崇高品格，从红色精神中汲取奋进的力量，传承红色基因，为新征程铸魂固本。同时不断构建有力的教育传播体系，依托干部学院、“开学第一课”等载体，结合《伟大转折》等红色剧目形成“红色教育+文旅演艺”的双驱动模式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“贵州创新红色资源数字化开发，以长征国家文化公园为核心，打造了贵州长征文化数字艺术馆（“红飘带”）等科技文旅项目。”欧阳黔森说，这些科技文旅项目，通过全息影像、XR技术再现了历史场景，获得一致好评。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“未来，贵州还能借助人工智能与大数据进一步突破。”欧阳黔森建议，进一步打造沉浸式体验，利用数字虚拟向导、前沿技术还原历史场景，让游客突破时间、空间的限制，“亲历”遵义会议等重大事件。同时，构建全域数据平台，整合客流、消费数据，通过算法优化线路规划，向游客精准推送红色文旅产品；推动服务能力升级，利用人工智能嵌入客服系统，提升服务效率，让客户体验得到跨越式升级。</w:t>
      </w:r>
    </w:p>
    <w:p w:rsidR="002E003E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（来源：贵州日报）</w:t>
      </w:r>
    </w:p>
    <w:p w:rsidR="002E003E" w:rsidRDefault="002E003E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18A4">
        <w:rPr>
          <w:rFonts w:ascii="方正小标宋简体" w:eastAsia="方正小标宋简体" w:hint="eastAsia"/>
          <w:sz w:val="44"/>
          <w:szCs w:val="44"/>
        </w:rPr>
        <w:t>宁波数字公话亭助力城市数智化转型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（2025-03-13）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近日，多个数字公话亭亮相浙江宁波街头，“3分钟免费通话”“一键挂号”“免费充电”等全新功能吸引了广大市民驻足观看和亲身体验。全新的公话亭通过数字化升级解锁了一系列新功能，自投入试用以来，月均使用超过1000人次，助力加快城市数智化转型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公用电话亭作为重要的城市基础设施，为市民提供了便捷的通话服务，满足了老百姓通信需求，可作为应急通信的补充设施，有着不可替代的作用。但随着经济社会的发展和信息时代的进步，传统公话亭难以满足人民群众的多样化、高品质消费需要，部分市民也提出了完善公话亭服务功能、外观形象等建议。对此，宁波市通信管理局积极推动公话亭数字化升级和智能化改造，充分吸纳社会各界意见建议，引导宁波电信加强公用电话亭商业模式创新，开展改造试点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宁波电信基于人工智能、大数据、物联网、5G等新兴技术，聚焦服务模式创新和数字化应用创新，累计投入100万元专项资金，打造了集通话联络、“15分钟生活圈”信息指南、“一键助老”等6大类20多种服务功能于一体的数字公话亭，通过数字赋能公话亭升级换新。同时，宁波电信还联合多个未来社区开展城市数智化转型的探索，将数字电话亭这一新型信息基础设施深度融入“数字社区服务体系”，化身24小时便民服务窗口，用“AI+”模式实现了智慧社区的新场景开发、新服务拓展，成为智慧城市公共服务的微型枢纽。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下一步，宁波市通信管理局将指导宁波电信结合实际增加数字公话亭数量，持续探索与城市文化的深度融合，让更多老百姓享受到数字公话亭带来的便捷服务，不断满足人民对美好信息生活的向往，共绘城市数智化转型新图景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（来源：人民邮电报）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518A4">
        <w:rPr>
          <w:rFonts w:ascii="方正小标宋简体" w:eastAsia="方正小标宋简体" w:hint="eastAsia"/>
          <w:sz w:val="44"/>
          <w:szCs w:val="44"/>
        </w:rPr>
        <w:t>济南人工智能算力中心投入运营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（2025-03-13）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3月8日，济南人工智能产业发展专家座谈会在济南城投集团召开。当天，由中国工程院院士、清华大学计算机科学与技术系教授郑纬民领衔的专家组，经过现场查验，一致同意济南人工智能算力中心项目通过竣工验收。这标志着山东首个突破E级的高性能智算集群——济南人工智能算力中心正式投入运营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3月10日，记者从济南城投集团获悉，济南人工智能算力中心是高性能人工智能算力集群，位于国家超算济南中心科技园，算力规模为1000P。该项目致力于打造“AI一站式服务中心”，提供算力、数据、算法及服务全链路能力。具体来看，该项目可以提供裸金属算力租赁和算力云租赁两种模式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同时，该中心还配备了面向专业人员的模型训练服务平台，可实现零门槛、低成本、高效快速的大模型训练，建设面向企业和个人的人工智能应用超级市场，提供成熟丰富的行业垂类模型和行业应用，同时提供全周期定制化大模型应用解决方案、大模型人才培训等AI创新服务，实现基于算力资源的人工智能综合性产业服务。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今年初，深度求索（DeepSeek）引发全球广泛关注。数字经济的发展已经成为国家战略，新质生产力是推动传统企业转型升级的重要支撑。近年来，济南市强力实施数字经济发展战略，在数字经济、数字基础设施、数字经济产业发展等领域取得了显著成效。济南市的智能算力规模在去年达到了全国第七位。在赛迪顾问2024年发布的数字百强市榜单中，居全国第14位，进入了第一梯队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（来源：大众日报）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3518A4" w:rsidRPr="00937099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37099">
        <w:rPr>
          <w:rFonts w:ascii="方正小标宋简体" w:eastAsia="方正小标宋简体" w:hint="eastAsia"/>
          <w:sz w:val="44"/>
          <w:szCs w:val="44"/>
        </w:rPr>
        <w:t>广西医科大学成立医学人工智能研究中心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（2025-03-13）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记者3月10日获悉，广西医科大学医学人工智能研究中心日前揭牌。这标志着广西医科大学在“医学+人工智能”交叉融合领域迈出关键步伐，为区域医疗数智化转型注入强劲动能。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据悉，为推动人工智能赋能医学教育创新，推进医工交叉发展、服务人民健康，广西医科大学积极响应国家和广西壮族自治区党委、政府发展人工智能的号召，成立医学人工智能研究中心，推动医学学科与信息学科交叉融合，加快构建“基础研究—技术攻关—临床验证—产业转化”的全链条创新体系，开启医学人工智能发展新篇章。</w:t>
      </w:r>
    </w:p>
    <w:p w:rsidR="003518A4" w:rsidRP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广西医科大学医学人工智能研究中心以“顶天立地”为目标，将汇聚临床医学、计算机科学、生物工程、伦理学等多领域人才。研究中心既瞄准国际学术前沿，又结合临床实际需求，重点围绕科研数据分析挖掘、智能诊疗技术、智慧健康管理、新药研发与基因研究、医学伦理与数据安全等多个场景，深入探索“AI+医学教育”“AI+生物医药”“AI+学科建设”等领域，形成新的学科生长点和科技突破口，助力学校“双一流”建设，为区域乃至全国医疗高质量发展提供智力支持与技术保障。</w:t>
      </w:r>
    </w:p>
    <w:p w:rsidR="00937099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近年来，广西医科大学主动拥抱人工智能，将人工智能与医学教育、科技研究、智能医疗紧密结合，不断推动人工智能在学校教学、科研、管理和医院医疗保健等方面的深度应用。</w:t>
      </w:r>
    </w:p>
    <w:p w:rsidR="003518A4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3518A4" w:rsidRPr="003518A4">
        <w:rPr>
          <w:rFonts w:ascii="仿宋_GB2312" w:eastAsia="仿宋_GB2312" w:hint="eastAsia"/>
          <w:sz w:val="32"/>
          <w:szCs w:val="32"/>
        </w:rPr>
        <w:t>（来源：科技日报）</w:t>
      </w:r>
    </w:p>
    <w:p w:rsidR="003518A4" w:rsidRDefault="003518A4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937099" w:rsidRPr="00937099" w:rsidRDefault="00937099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37099">
        <w:rPr>
          <w:rFonts w:ascii="方正小标宋简体" w:eastAsia="方正小标宋简体" w:hint="eastAsia"/>
          <w:sz w:val="44"/>
          <w:szCs w:val="44"/>
        </w:rPr>
        <w:t>国家知识产权公共服务平台上线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（2025-03-12）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记者从国家知识产权局办公室获悉，为提升知识产权公共服务数字化、智能化和便利化水平，国家知识产权局完成国家知识产权保护信息平台项目建设，将国家知识产权公共服务网升级改造为国家知识产权公共服务平台，于3月10日正式上线。</w:t>
      </w:r>
    </w:p>
    <w:p w:rsidR="00937099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据介绍，该平台整合优化了现有各类知识产权公共服务系统，集合了执法支撑、综合监管、保护监测等功能。创新主体可以获取质押许可等知识产权运用情况，监测重点产业、共享专利权评价报告及侵权线索，社会公众可通过公共服务门户获取各类知识产权业务办理入口，进行基础数据查询。该平台还实现了专利代理师资格考试、专利代理机构审批、专利和商标代理监管等电子化业务办理流程。</w:t>
      </w:r>
    </w:p>
    <w:p w:rsidR="00937099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（来源：人民日报）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937099" w:rsidRDefault="00937099" w:rsidP="00937099">
      <w:pPr>
        <w:pStyle w:val="a5"/>
        <w:shd w:val="clear" w:color="auto" w:fill="FFFFFF"/>
        <w:spacing w:beforeAutospacing="0" w:afterAutospacing="0"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37099">
        <w:rPr>
          <w:rFonts w:ascii="方正小标宋简体" w:eastAsia="方正小标宋简体" w:hint="eastAsia"/>
          <w:sz w:val="44"/>
          <w:szCs w:val="44"/>
        </w:rPr>
        <w:t>我国科学家计划打造“数字肾脏”</w:t>
      </w:r>
    </w:p>
    <w:p w:rsidR="00937099" w:rsidRPr="00937099" w:rsidRDefault="00937099" w:rsidP="00937099">
      <w:pPr>
        <w:pStyle w:val="a5"/>
        <w:shd w:val="clear" w:color="auto" w:fill="FFFFFF"/>
        <w:spacing w:beforeAutospacing="0" w:afterAutospacing="0"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37099">
        <w:rPr>
          <w:rFonts w:ascii="方正小标宋简体" w:eastAsia="方正小标宋简体" w:hint="eastAsia"/>
          <w:sz w:val="44"/>
          <w:szCs w:val="44"/>
        </w:rPr>
        <w:t>让肾脏疾病“清晰可见”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（2025-03-12）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新华社北京3月12日电  北京大学科研团队日前在国际上发布一项“肾脏成像组计划”，拟通过多模态成像技术与人工智能算法，率先构建全肾脏数字图谱。据悉，这一“数字肾脏”能使肾脏疾病机理更“清晰可见”，为肾脏疾病的精准诊断、新药研发、精准治疗提供全新方向。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慢性肾脏病严重影响生命健康。由于病征不明显、检测手段相对单一等，慢性肾脏病患者通常难以在患病早期确诊，一旦出现症状通常已进入病中晚期。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为攻克此难题，北京大学国家生物医学成像科学中心与北京大学第一医院共同发起“肾脏成像组计划”，以期突破传统病理检测局限，以“数字肾脏”为精准诊疗建立多维度评估体系。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项目负责人、北京大学第一医院副院长杨莉说，“数字肾脏”的特点是动态仿真且多维可视，“通过多种技术手段，可让肾脏从分子细胞水平到整个器官运行都直观可见，并整合多模态成像，绘出真实肾脏的内部结构和动态演化过程。”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杨莉介绍，在临床上，“数字肾脏”平台也可帮助精准定位病灶根源，并结合患者临床数据构建个性化数字模型，为患者筛选最优治疗方案，从而提升肾脏疾病早期诊断能力和个性化诊疗水平。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根据计划，科研团队将在3年内先构建动物的“数字肾脏”，10年内实现人类“数字肾脏”，并在临床肾脏病诊疗过程中应用。目前，联合团队已绘制完成超声、核磁共振、CT和病理等模态下的成像数据图，并对各模态成像数据进行整合。</w:t>
      </w:r>
    </w:p>
    <w:p w:rsidR="00937099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　　“肾脏成像组计划”近日发表于学术期刊《国家科学评论》。北京大学国家生物医学成像科学中心主任、中国科学院院士程和平认为，该计划作为国家成像中心首批重大项目之一，不仅为肾脏病研究开辟了新路径，还将为其他器官的数字建模提供重要参考。</w:t>
      </w:r>
    </w:p>
    <w:p w:rsidR="00937099" w:rsidRPr="003518A4" w:rsidRDefault="00937099" w:rsidP="009C0365">
      <w:pPr>
        <w:pStyle w:val="a5"/>
        <w:shd w:val="clear" w:color="auto" w:fill="FFFFFF"/>
        <w:spacing w:beforeAutospacing="0" w:afterAutospacing="0"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（来源：新华网）</w:t>
      </w:r>
    </w:p>
    <w:p w:rsidR="00937099" w:rsidRPr="00937099" w:rsidRDefault="00937099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937099">
        <w:rPr>
          <w:rFonts w:ascii="方正小标宋简体" w:eastAsia="方正小标宋简体" w:hint="eastAsia"/>
          <w:sz w:val="42"/>
          <w:szCs w:val="42"/>
        </w:rPr>
        <w:t>“星际之门”重要进展：即将安装6.4万张GB200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>（2025-03-12）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2025年3月10日，预算高达5000亿美元的“星际之门“项目传来新消息：Nvidia将为位于美国德克萨斯州阿比林市的“星际之门”一号站提供64,000个GB200 AI芯片。这些芯片将分阶段部署，预计在2026年底前全部安装完毕。首批16,000个芯片计划在今年夏季内完成安装，为星际之门的初期运营提供强大的计算支持。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“星际之门”项目本为OpenAI与微软共同发起的智算中心建设规划，旨在为OpenAI提供足够的算力。但在2年的拖拉建设之后，在美国总统特朗普的主持下进行了“升级”发布，主导者也变成了OpenAI、甲骨文以及孙正义（相关详情 ：美国官宣“星际之门”项目）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根据规划，“星际之门”将在未来四年内建设20座数据中心。“星际之门”一号站是第一批建设且即将完工的第一个数据中心，位于美国德克萨斯州阿比林市。项目占地100万平方英尺，计划容纳10万台GB200算力集群，关键IT负载容量达180兆瓦。这一数据中心不仅是项目的起点，也是未来20座数据中心的样板（相关详情：耗资1000亿美元的“星际之门1号站”长啥样？）。</w:t>
      </w:r>
    </w:p>
    <w:p w:rsidR="00937099" w:rsidRPr="003518A4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Nvidia的GB200芯片是该公司旗舰产品，结合了Grace CPU和两个增强型B200 GPU，每个芯片的价格高达60,000至70,000美元。除了提供芯片外，还将为首批“星际之门”数据中心提供其Spectrum-X以太网网络平台，以支持数据中心的高效运行。</w:t>
      </w:r>
    </w:p>
    <w:p w:rsidR="00937099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 w:rsidRPr="003518A4">
        <w:rPr>
          <w:rFonts w:ascii="仿宋_GB2312" w:eastAsia="仿宋_GB2312" w:hint="eastAsia"/>
          <w:sz w:val="32"/>
          <w:szCs w:val="32"/>
        </w:rPr>
        <w:t xml:space="preserve">    在数据中心的建设和运营方面，替换了微软的Oracle扮演了关键角色。据透露，Oracle负责设计和交付阿比林数据中心，并承担超级计算机的采购和运营工作。此外，OpenAI和Oracle正在美国其他16个州探索建立数据中心的选项，包括亚利桑那州、加利福尼亚州、佛罗里达州等。</w:t>
      </w:r>
    </w:p>
    <w:p w:rsidR="002E003E" w:rsidRDefault="00937099" w:rsidP="00937099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Pr="003518A4">
        <w:rPr>
          <w:rFonts w:ascii="仿宋_GB2312" w:eastAsia="仿宋_GB2312" w:hint="eastAsia"/>
          <w:sz w:val="32"/>
          <w:szCs w:val="32"/>
        </w:rPr>
        <w:t>（来源：中国IDC圈）</w:t>
      </w:r>
    </w:p>
    <w:p w:rsidR="002E003E" w:rsidRDefault="002E003E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2E003E" w:rsidRDefault="002E003E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2E003E" w:rsidRDefault="002E003E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2E003E" w:rsidRDefault="002E003E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 w:hint="eastAsia"/>
          <w:sz w:val="32"/>
          <w:szCs w:val="32"/>
        </w:rPr>
      </w:pPr>
    </w:p>
    <w:p w:rsidR="002E003E" w:rsidRDefault="002E003E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 w:hint="eastAsia"/>
          <w:sz w:val="32"/>
          <w:szCs w:val="32"/>
        </w:rPr>
      </w:pPr>
    </w:p>
    <w:p w:rsidR="003518A4" w:rsidRPr="003518A4" w:rsidRDefault="003518A4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/>
          <w:sz w:val="32"/>
          <w:szCs w:val="32"/>
        </w:rPr>
      </w:pPr>
    </w:p>
    <w:p w:rsidR="003518A4" w:rsidRPr="003518A4" w:rsidRDefault="003518A4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/>
          <w:sz w:val="32"/>
          <w:szCs w:val="32"/>
        </w:rPr>
      </w:pPr>
    </w:p>
    <w:p w:rsidR="003518A4" w:rsidRPr="003518A4" w:rsidRDefault="003518A4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/>
          <w:sz w:val="32"/>
          <w:szCs w:val="32"/>
        </w:rPr>
      </w:pPr>
    </w:p>
    <w:p w:rsidR="003518A4" w:rsidRPr="003518A4" w:rsidRDefault="003518A4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/>
          <w:sz w:val="32"/>
          <w:szCs w:val="32"/>
        </w:rPr>
      </w:pPr>
    </w:p>
    <w:p w:rsidR="003518A4" w:rsidRPr="003518A4" w:rsidRDefault="003518A4" w:rsidP="003518A4">
      <w:pPr>
        <w:pStyle w:val="a5"/>
        <w:shd w:val="clear" w:color="auto" w:fill="FFFFFF"/>
        <w:spacing w:beforeAutospacing="0" w:afterAutospacing="0"/>
        <w:rPr>
          <w:rFonts w:ascii="仿宋_GB2312" w:eastAsia="仿宋_GB2312"/>
          <w:sz w:val="32"/>
          <w:szCs w:val="32"/>
        </w:rPr>
      </w:pPr>
    </w:p>
    <w:p w:rsidR="009E0924" w:rsidRDefault="009E0924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5D4AA2" w:rsidRDefault="005D4AA2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0D5F8F" w:rsidRDefault="000D5F8F" w:rsidP="00E449CE">
      <w:pPr>
        <w:pStyle w:val="a5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</w:p>
    <w:p w:rsidR="0057220B" w:rsidRDefault="0057220B" w:rsidP="0057220B">
      <w:pPr>
        <w:pStyle w:val="a5"/>
        <w:shd w:val="clear" w:color="auto" w:fill="FFFFFF"/>
        <w:spacing w:beforeAutospacing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审定：何灏            审核：杨海霞         编辑：陈隆强</w:t>
      </w:r>
    </w:p>
    <w:p w:rsidR="0057220B" w:rsidRDefault="00E93FDD" w:rsidP="0057220B">
      <w:pPr>
        <w:pStyle w:val="a5"/>
        <w:shd w:val="clear" w:color="auto" w:fill="FFFFFF"/>
        <w:spacing w:beforeAutospacing="0" w:afterAutospacing="0" w:line="520" w:lineRule="exact"/>
        <w:jc w:val="both"/>
      </w:pPr>
      <w:r w:rsidRPr="00E93FDD">
        <w:rPr>
          <w:rFonts w:ascii="仿宋_GB2312" w:eastAsia="仿宋_GB2312"/>
          <w:sz w:val="32"/>
          <w:szCs w:val="32"/>
        </w:rPr>
        <w:pict>
          <v:line id="_x0000_s1029" style="position:absolute;left:0;text-align:left;flip:y;z-index:251658240" from="-1.2pt,.85pt" to="444.95pt,.95pt" o:gfxdata="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f+0t1AAAAAYBAAAPAAAAAAAAAAEAIAAAACIAAABkcnMv&#10;ZG93bnJldi54bWxQSwECFAAUAAAACACHTuJApfeAtAcCAAAABAAADgAAAAAAAAABACAAAAAjAQAA&#10;ZHJzL2Uyb0RvYy54bWxQSwUGAAAAAAYABgBZAQAAnAUAAAAA&#10;" strokecolor="red" strokeweight="1.25pt"/>
        </w:pict>
      </w:r>
      <w:r w:rsidR="0057220B">
        <w:rPr>
          <w:rFonts w:ascii="仿宋_GB2312" w:eastAsia="仿宋_GB2312" w:hint="eastAsia"/>
          <w:sz w:val="32"/>
          <w:szCs w:val="32"/>
        </w:rPr>
        <w:t>联系电话：0851-88950123</w:t>
      </w:r>
      <w:bookmarkStart w:id="0" w:name="_GoBack"/>
      <w:bookmarkEnd w:id="0"/>
    </w:p>
    <w:sectPr w:rsidR="0057220B" w:rsidSect="00F63C4F">
      <w:footerReference w:type="even" r:id="rId7"/>
      <w:footerReference w:type="default" r:id="rId8"/>
      <w:footerReference w:type="first" r:id="rId9"/>
      <w:pgSz w:w="11906" w:h="16838"/>
      <w:pgMar w:top="1440" w:right="1418" w:bottom="1440" w:left="1701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C6" w:rsidRDefault="005808C6">
      <w:pPr>
        <w:spacing w:line="240" w:lineRule="auto"/>
      </w:pPr>
      <w:r>
        <w:separator/>
      </w:r>
    </w:p>
  </w:endnote>
  <w:endnote w:type="continuationSeparator" w:id="0">
    <w:p w:rsidR="005808C6" w:rsidRDefault="00580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琥珀体简">
    <w:altName w:val="宋体"/>
    <w:charset w:val="86"/>
    <w:family w:val="modern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2" w:rsidRDefault="00E93FD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32995">
      <w:rPr>
        <w:rStyle w:val="a7"/>
      </w:rPr>
      <w:instrText xml:space="preserve">PAGE  </w:instrText>
    </w:r>
    <w:r>
      <w:fldChar w:fldCharType="separate"/>
    </w:r>
    <w:r w:rsidR="00C32995">
      <w:rPr>
        <w:rStyle w:val="a7"/>
      </w:rPr>
      <w:t>1</w:t>
    </w:r>
    <w:r>
      <w:fldChar w:fldCharType="end"/>
    </w:r>
  </w:p>
  <w:p w:rsidR="004D0412" w:rsidRDefault="004D041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2" w:rsidRDefault="00E93FD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32995">
      <w:rPr>
        <w:rStyle w:val="a7"/>
      </w:rPr>
      <w:instrText xml:space="preserve">PAGE  </w:instrText>
    </w:r>
    <w:r>
      <w:fldChar w:fldCharType="separate"/>
    </w:r>
    <w:r w:rsidR="005808C6">
      <w:rPr>
        <w:rStyle w:val="a7"/>
        <w:noProof/>
      </w:rPr>
      <w:t>1</w:t>
    </w:r>
    <w:r>
      <w:fldChar w:fldCharType="end"/>
    </w:r>
  </w:p>
  <w:p w:rsidR="004D0412" w:rsidRDefault="004D041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2" w:rsidRDefault="00E93FDD">
    <w:pPr>
      <w:pStyle w:val="a4"/>
      <w:framePr w:wrap="around" w:vAnchor="text" w:hAnchor="margin" w:xAlign="center" w:yAlign="top"/>
    </w:pPr>
    <w:r>
      <w:fldChar w:fldCharType="begin"/>
    </w:r>
    <w:r w:rsidR="00C32995">
      <w:rPr>
        <w:rStyle w:val="a7"/>
      </w:rPr>
      <w:instrText xml:space="preserve"> PAGE  </w:instrText>
    </w:r>
    <w:r>
      <w:fldChar w:fldCharType="separate"/>
    </w:r>
    <w:r w:rsidR="00C32995">
      <w:rPr>
        <w:rStyle w:val="a7"/>
      </w:rPr>
      <w:t>1</w:t>
    </w:r>
    <w:r>
      <w:fldChar w:fldCharType="end"/>
    </w:r>
  </w:p>
  <w:p w:rsidR="004D0412" w:rsidRDefault="004D04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C6" w:rsidRDefault="005808C6">
      <w:pPr>
        <w:spacing w:line="240" w:lineRule="auto"/>
      </w:pPr>
      <w:r>
        <w:separator/>
      </w:r>
    </w:p>
  </w:footnote>
  <w:footnote w:type="continuationSeparator" w:id="0">
    <w:p w:rsidR="005808C6" w:rsidRDefault="00580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NiZjE2ZmU2NWQxMmU2NjU3ZTg1YjBlNmNkMWZlMDAifQ=="/>
  </w:docVars>
  <w:rsids>
    <w:rsidRoot w:val="0A4C30D9"/>
    <w:rsid w:val="0000339D"/>
    <w:rsid w:val="00003568"/>
    <w:rsid w:val="000136DF"/>
    <w:rsid w:val="00016B62"/>
    <w:rsid w:val="00037104"/>
    <w:rsid w:val="000401FA"/>
    <w:rsid w:val="00043996"/>
    <w:rsid w:val="00043B69"/>
    <w:rsid w:val="00050F62"/>
    <w:rsid w:val="00052BDA"/>
    <w:rsid w:val="00055623"/>
    <w:rsid w:val="00061FF9"/>
    <w:rsid w:val="00062C8B"/>
    <w:rsid w:val="00064BAE"/>
    <w:rsid w:val="0006709A"/>
    <w:rsid w:val="00071C65"/>
    <w:rsid w:val="00075852"/>
    <w:rsid w:val="00076573"/>
    <w:rsid w:val="00080018"/>
    <w:rsid w:val="00080D27"/>
    <w:rsid w:val="0009686E"/>
    <w:rsid w:val="000B0FD9"/>
    <w:rsid w:val="000C17C9"/>
    <w:rsid w:val="000C2261"/>
    <w:rsid w:val="000C65AE"/>
    <w:rsid w:val="000D175A"/>
    <w:rsid w:val="000D5F8F"/>
    <w:rsid w:val="000D636A"/>
    <w:rsid w:val="000D68D2"/>
    <w:rsid w:val="000E6CF6"/>
    <w:rsid w:val="000F6EB0"/>
    <w:rsid w:val="000F7A1E"/>
    <w:rsid w:val="0010073A"/>
    <w:rsid w:val="00112766"/>
    <w:rsid w:val="00123624"/>
    <w:rsid w:val="00126174"/>
    <w:rsid w:val="00137AC5"/>
    <w:rsid w:val="001409DF"/>
    <w:rsid w:val="0014576A"/>
    <w:rsid w:val="001572E6"/>
    <w:rsid w:val="00165EDA"/>
    <w:rsid w:val="00170C0A"/>
    <w:rsid w:val="00172419"/>
    <w:rsid w:val="00173D64"/>
    <w:rsid w:val="00174377"/>
    <w:rsid w:val="001758A8"/>
    <w:rsid w:val="001A0E0A"/>
    <w:rsid w:val="001A271C"/>
    <w:rsid w:val="001A3D8F"/>
    <w:rsid w:val="001A6629"/>
    <w:rsid w:val="001B3870"/>
    <w:rsid w:val="001C23E0"/>
    <w:rsid w:val="001C4CDF"/>
    <w:rsid w:val="001C6608"/>
    <w:rsid w:val="001C79A6"/>
    <w:rsid w:val="001D05E7"/>
    <w:rsid w:val="001D41B8"/>
    <w:rsid w:val="001D41E5"/>
    <w:rsid w:val="001D4C18"/>
    <w:rsid w:val="001E0328"/>
    <w:rsid w:val="001E75BE"/>
    <w:rsid w:val="001F4E41"/>
    <w:rsid w:val="001F5D88"/>
    <w:rsid w:val="001F6E3C"/>
    <w:rsid w:val="00200914"/>
    <w:rsid w:val="00201B6D"/>
    <w:rsid w:val="002038F0"/>
    <w:rsid w:val="002119E0"/>
    <w:rsid w:val="00223F18"/>
    <w:rsid w:val="002336DC"/>
    <w:rsid w:val="002502FC"/>
    <w:rsid w:val="00250808"/>
    <w:rsid w:val="002519B5"/>
    <w:rsid w:val="00254588"/>
    <w:rsid w:val="00262FD0"/>
    <w:rsid w:val="002648AA"/>
    <w:rsid w:val="0026681E"/>
    <w:rsid w:val="00272AEC"/>
    <w:rsid w:val="00282F09"/>
    <w:rsid w:val="002867CF"/>
    <w:rsid w:val="00291975"/>
    <w:rsid w:val="00291BC4"/>
    <w:rsid w:val="002950BB"/>
    <w:rsid w:val="002A220E"/>
    <w:rsid w:val="002B0641"/>
    <w:rsid w:val="002C31B4"/>
    <w:rsid w:val="002E003E"/>
    <w:rsid w:val="002E05C7"/>
    <w:rsid w:val="002F1BB9"/>
    <w:rsid w:val="002F2F16"/>
    <w:rsid w:val="00305D6C"/>
    <w:rsid w:val="0031431E"/>
    <w:rsid w:val="00315114"/>
    <w:rsid w:val="00334A0B"/>
    <w:rsid w:val="00336B39"/>
    <w:rsid w:val="00344A82"/>
    <w:rsid w:val="003509A4"/>
    <w:rsid w:val="003518A4"/>
    <w:rsid w:val="003550EE"/>
    <w:rsid w:val="0035661E"/>
    <w:rsid w:val="00356DC2"/>
    <w:rsid w:val="00361B48"/>
    <w:rsid w:val="0036241A"/>
    <w:rsid w:val="003654D3"/>
    <w:rsid w:val="00365851"/>
    <w:rsid w:val="003709C4"/>
    <w:rsid w:val="003724E1"/>
    <w:rsid w:val="00373F15"/>
    <w:rsid w:val="003872C4"/>
    <w:rsid w:val="00396374"/>
    <w:rsid w:val="003B13B3"/>
    <w:rsid w:val="003C1347"/>
    <w:rsid w:val="003C7A29"/>
    <w:rsid w:val="003D264C"/>
    <w:rsid w:val="003D3B10"/>
    <w:rsid w:val="003D4D4C"/>
    <w:rsid w:val="003D5B3B"/>
    <w:rsid w:val="003E526D"/>
    <w:rsid w:val="003F438F"/>
    <w:rsid w:val="003F5C40"/>
    <w:rsid w:val="00410B94"/>
    <w:rsid w:val="0041737B"/>
    <w:rsid w:val="00420B03"/>
    <w:rsid w:val="004218E6"/>
    <w:rsid w:val="00443136"/>
    <w:rsid w:val="00447E10"/>
    <w:rsid w:val="0045464B"/>
    <w:rsid w:val="00471706"/>
    <w:rsid w:val="004759ED"/>
    <w:rsid w:val="00480286"/>
    <w:rsid w:val="00494B3B"/>
    <w:rsid w:val="0049677F"/>
    <w:rsid w:val="00497FBB"/>
    <w:rsid w:val="004A1B19"/>
    <w:rsid w:val="004A226F"/>
    <w:rsid w:val="004A4EBB"/>
    <w:rsid w:val="004A766C"/>
    <w:rsid w:val="004A7A93"/>
    <w:rsid w:val="004B0F41"/>
    <w:rsid w:val="004B40E1"/>
    <w:rsid w:val="004C1450"/>
    <w:rsid w:val="004C14D9"/>
    <w:rsid w:val="004C39C7"/>
    <w:rsid w:val="004D0412"/>
    <w:rsid w:val="004D0EED"/>
    <w:rsid w:val="004D1790"/>
    <w:rsid w:val="004E2291"/>
    <w:rsid w:val="004E767B"/>
    <w:rsid w:val="004F0E04"/>
    <w:rsid w:val="004F5E4C"/>
    <w:rsid w:val="004F748F"/>
    <w:rsid w:val="004F799E"/>
    <w:rsid w:val="004F79DA"/>
    <w:rsid w:val="0051233F"/>
    <w:rsid w:val="00527C18"/>
    <w:rsid w:val="00533A46"/>
    <w:rsid w:val="00534F83"/>
    <w:rsid w:val="00537D89"/>
    <w:rsid w:val="00542D33"/>
    <w:rsid w:val="00552EF7"/>
    <w:rsid w:val="00561CB1"/>
    <w:rsid w:val="00562285"/>
    <w:rsid w:val="0057220B"/>
    <w:rsid w:val="005808C6"/>
    <w:rsid w:val="00582491"/>
    <w:rsid w:val="00585CCE"/>
    <w:rsid w:val="005873A6"/>
    <w:rsid w:val="005A7DF3"/>
    <w:rsid w:val="005B3C4B"/>
    <w:rsid w:val="005B4219"/>
    <w:rsid w:val="005B5EFA"/>
    <w:rsid w:val="005C0B07"/>
    <w:rsid w:val="005C656F"/>
    <w:rsid w:val="005C7C92"/>
    <w:rsid w:val="005D4AA2"/>
    <w:rsid w:val="005D5A50"/>
    <w:rsid w:val="005D7699"/>
    <w:rsid w:val="005E1F03"/>
    <w:rsid w:val="005E278B"/>
    <w:rsid w:val="005E675C"/>
    <w:rsid w:val="005F277C"/>
    <w:rsid w:val="005F6721"/>
    <w:rsid w:val="00600E8C"/>
    <w:rsid w:val="00604302"/>
    <w:rsid w:val="006061C5"/>
    <w:rsid w:val="00607C17"/>
    <w:rsid w:val="00610802"/>
    <w:rsid w:val="00611CC9"/>
    <w:rsid w:val="00612B70"/>
    <w:rsid w:val="00617FF5"/>
    <w:rsid w:val="00622BFF"/>
    <w:rsid w:val="00625971"/>
    <w:rsid w:val="00632305"/>
    <w:rsid w:val="0064447D"/>
    <w:rsid w:val="00653412"/>
    <w:rsid w:val="00666EFD"/>
    <w:rsid w:val="006673BF"/>
    <w:rsid w:val="00676181"/>
    <w:rsid w:val="00683C79"/>
    <w:rsid w:val="0068750A"/>
    <w:rsid w:val="006909AA"/>
    <w:rsid w:val="006926E4"/>
    <w:rsid w:val="006941F9"/>
    <w:rsid w:val="006943E7"/>
    <w:rsid w:val="00697252"/>
    <w:rsid w:val="0069774B"/>
    <w:rsid w:val="006A40CB"/>
    <w:rsid w:val="006C7CD4"/>
    <w:rsid w:val="006D6196"/>
    <w:rsid w:val="006D6460"/>
    <w:rsid w:val="006F0AFE"/>
    <w:rsid w:val="006F720A"/>
    <w:rsid w:val="007060E9"/>
    <w:rsid w:val="007153C2"/>
    <w:rsid w:val="00730D4A"/>
    <w:rsid w:val="0073614B"/>
    <w:rsid w:val="00742215"/>
    <w:rsid w:val="007527CE"/>
    <w:rsid w:val="0075407B"/>
    <w:rsid w:val="00763EFB"/>
    <w:rsid w:val="00774302"/>
    <w:rsid w:val="0077634A"/>
    <w:rsid w:val="007804FF"/>
    <w:rsid w:val="00781B73"/>
    <w:rsid w:val="00782E6A"/>
    <w:rsid w:val="0078591B"/>
    <w:rsid w:val="007916FC"/>
    <w:rsid w:val="007956E0"/>
    <w:rsid w:val="007A5CCD"/>
    <w:rsid w:val="007C7D07"/>
    <w:rsid w:val="007D1B93"/>
    <w:rsid w:val="007E06AC"/>
    <w:rsid w:val="007F6880"/>
    <w:rsid w:val="00801B47"/>
    <w:rsid w:val="00801C1B"/>
    <w:rsid w:val="008137AC"/>
    <w:rsid w:val="008169EA"/>
    <w:rsid w:val="0081795F"/>
    <w:rsid w:val="00823BE4"/>
    <w:rsid w:val="00831558"/>
    <w:rsid w:val="00841998"/>
    <w:rsid w:val="00841F8A"/>
    <w:rsid w:val="00851B39"/>
    <w:rsid w:val="00853FAE"/>
    <w:rsid w:val="00875129"/>
    <w:rsid w:val="0087526B"/>
    <w:rsid w:val="00877C1F"/>
    <w:rsid w:val="008817EF"/>
    <w:rsid w:val="008820E5"/>
    <w:rsid w:val="0088500F"/>
    <w:rsid w:val="008938D6"/>
    <w:rsid w:val="008B03B8"/>
    <w:rsid w:val="008B75B6"/>
    <w:rsid w:val="008C0294"/>
    <w:rsid w:val="008C4CB5"/>
    <w:rsid w:val="008E2E74"/>
    <w:rsid w:val="008E5D3E"/>
    <w:rsid w:val="008F4A4D"/>
    <w:rsid w:val="00902033"/>
    <w:rsid w:val="0090716B"/>
    <w:rsid w:val="00917AF3"/>
    <w:rsid w:val="0092256C"/>
    <w:rsid w:val="00924DF2"/>
    <w:rsid w:val="00937099"/>
    <w:rsid w:val="00942EB1"/>
    <w:rsid w:val="0095392B"/>
    <w:rsid w:val="009629C0"/>
    <w:rsid w:val="00965A88"/>
    <w:rsid w:val="009831E1"/>
    <w:rsid w:val="009854B4"/>
    <w:rsid w:val="009A010C"/>
    <w:rsid w:val="009A2F7C"/>
    <w:rsid w:val="009A4E45"/>
    <w:rsid w:val="009A4F3D"/>
    <w:rsid w:val="009A538D"/>
    <w:rsid w:val="009A7E14"/>
    <w:rsid w:val="009B22AF"/>
    <w:rsid w:val="009B4690"/>
    <w:rsid w:val="009B64EB"/>
    <w:rsid w:val="009B6884"/>
    <w:rsid w:val="009C0365"/>
    <w:rsid w:val="009C0395"/>
    <w:rsid w:val="009C0525"/>
    <w:rsid w:val="009C31A6"/>
    <w:rsid w:val="009C3896"/>
    <w:rsid w:val="009E0924"/>
    <w:rsid w:val="009E2166"/>
    <w:rsid w:val="009E4F86"/>
    <w:rsid w:val="009E730C"/>
    <w:rsid w:val="009E7C7D"/>
    <w:rsid w:val="009E7DF2"/>
    <w:rsid w:val="00A12480"/>
    <w:rsid w:val="00A15DEF"/>
    <w:rsid w:val="00A1728A"/>
    <w:rsid w:val="00A2057B"/>
    <w:rsid w:val="00A2119D"/>
    <w:rsid w:val="00A24108"/>
    <w:rsid w:val="00A31EEA"/>
    <w:rsid w:val="00A4314B"/>
    <w:rsid w:val="00A52B7F"/>
    <w:rsid w:val="00A543A3"/>
    <w:rsid w:val="00A55857"/>
    <w:rsid w:val="00A7724E"/>
    <w:rsid w:val="00A87CB9"/>
    <w:rsid w:val="00A93C8F"/>
    <w:rsid w:val="00A94432"/>
    <w:rsid w:val="00A95F3B"/>
    <w:rsid w:val="00AA64F3"/>
    <w:rsid w:val="00AB3FD4"/>
    <w:rsid w:val="00AB40AB"/>
    <w:rsid w:val="00AC0A42"/>
    <w:rsid w:val="00AC35AB"/>
    <w:rsid w:val="00AC73DE"/>
    <w:rsid w:val="00AD3346"/>
    <w:rsid w:val="00AD5B5A"/>
    <w:rsid w:val="00AD70C7"/>
    <w:rsid w:val="00AD7FEF"/>
    <w:rsid w:val="00AE7EA4"/>
    <w:rsid w:val="00AF138C"/>
    <w:rsid w:val="00B220F5"/>
    <w:rsid w:val="00B30E44"/>
    <w:rsid w:val="00B4194E"/>
    <w:rsid w:val="00B41DDA"/>
    <w:rsid w:val="00B4521B"/>
    <w:rsid w:val="00B46F1F"/>
    <w:rsid w:val="00B47746"/>
    <w:rsid w:val="00B523FB"/>
    <w:rsid w:val="00B56A3B"/>
    <w:rsid w:val="00B612D8"/>
    <w:rsid w:val="00B61489"/>
    <w:rsid w:val="00B61EAB"/>
    <w:rsid w:val="00B64EB5"/>
    <w:rsid w:val="00B6673C"/>
    <w:rsid w:val="00B66C33"/>
    <w:rsid w:val="00B70C9C"/>
    <w:rsid w:val="00B714F8"/>
    <w:rsid w:val="00B7222F"/>
    <w:rsid w:val="00B7773F"/>
    <w:rsid w:val="00B82307"/>
    <w:rsid w:val="00B86ECD"/>
    <w:rsid w:val="00B91A18"/>
    <w:rsid w:val="00B93AC0"/>
    <w:rsid w:val="00B9638B"/>
    <w:rsid w:val="00BA1214"/>
    <w:rsid w:val="00BA33D7"/>
    <w:rsid w:val="00BA44D7"/>
    <w:rsid w:val="00BA468B"/>
    <w:rsid w:val="00BD34A4"/>
    <w:rsid w:val="00BD4B98"/>
    <w:rsid w:val="00BE52EB"/>
    <w:rsid w:val="00BE6868"/>
    <w:rsid w:val="00C005E9"/>
    <w:rsid w:val="00C06F22"/>
    <w:rsid w:val="00C10011"/>
    <w:rsid w:val="00C13DF4"/>
    <w:rsid w:val="00C15785"/>
    <w:rsid w:val="00C17BEE"/>
    <w:rsid w:val="00C23909"/>
    <w:rsid w:val="00C26321"/>
    <w:rsid w:val="00C27C01"/>
    <w:rsid w:val="00C32316"/>
    <w:rsid w:val="00C32995"/>
    <w:rsid w:val="00C32D4E"/>
    <w:rsid w:val="00C36821"/>
    <w:rsid w:val="00C44F08"/>
    <w:rsid w:val="00C5194D"/>
    <w:rsid w:val="00C52FF4"/>
    <w:rsid w:val="00C607DB"/>
    <w:rsid w:val="00C717AA"/>
    <w:rsid w:val="00C775AE"/>
    <w:rsid w:val="00C84121"/>
    <w:rsid w:val="00C9094E"/>
    <w:rsid w:val="00CA24F3"/>
    <w:rsid w:val="00CA4DC0"/>
    <w:rsid w:val="00CB48FE"/>
    <w:rsid w:val="00CB672A"/>
    <w:rsid w:val="00CC07FB"/>
    <w:rsid w:val="00CD069F"/>
    <w:rsid w:val="00CE3397"/>
    <w:rsid w:val="00CE5C64"/>
    <w:rsid w:val="00CF2467"/>
    <w:rsid w:val="00CF6405"/>
    <w:rsid w:val="00CF7CE2"/>
    <w:rsid w:val="00D005F0"/>
    <w:rsid w:val="00D02F13"/>
    <w:rsid w:val="00D03846"/>
    <w:rsid w:val="00D045CF"/>
    <w:rsid w:val="00D07C01"/>
    <w:rsid w:val="00D15AEA"/>
    <w:rsid w:val="00D16FA8"/>
    <w:rsid w:val="00D22D76"/>
    <w:rsid w:val="00D23168"/>
    <w:rsid w:val="00D23FE8"/>
    <w:rsid w:val="00D23FF5"/>
    <w:rsid w:val="00D30405"/>
    <w:rsid w:val="00D41C61"/>
    <w:rsid w:val="00D45F1B"/>
    <w:rsid w:val="00D52421"/>
    <w:rsid w:val="00D52A66"/>
    <w:rsid w:val="00D54F7D"/>
    <w:rsid w:val="00D601F6"/>
    <w:rsid w:val="00D620F7"/>
    <w:rsid w:val="00D72285"/>
    <w:rsid w:val="00D729A6"/>
    <w:rsid w:val="00D7465D"/>
    <w:rsid w:val="00D772CE"/>
    <w:rsid w:val="00D83355"/>
    <w:rsid w:val="00D971B6"/>
    <w:rsid w:val="00DA3BEB"/>
    <w:rsid w:val="00DB1BD3"/>
    <w:rsid w:val="00DC2D0F"/>
    <w:rsid w:val="00DC626D"/>
    <w:rsid w:val="00DD3555"/>
    <w:rsid w:val="00DE1C71"/>
    <w:rsid w:val="00DE5394"/>
    <w:rsid w:val="00DF2DDB"/>
    <w:rsid w:val="00E02F76"/>
    <w:rsid w:val="00E15705"/>
    <w:rsid w:val="00E23B0C"/>
    <w:rsid w:val="00E2423D"/>
    <w:rsid w:val="00E24506"/>
    <w:rsid w:val="00E314DE"/>
    <w:rsid w:val="00E355FD"/>
    <w:rsid w:val="00E35E76"/>
    <w:rsid w:val="00E449CE"/>
    <w:rsid w:val="00E54D78"/>
    <w:rsid w:val="00E655DE"/>
    <w:rsid w:val="00E73E2F"/>
    <w:rsid w:val="00E82FC8"/>
    <w:rsid w:val="00E84A35"/>
    <w:rsid w:val="00E87C00"/>
    <w:rsid w:val="00E916D5"/>
    <w:rsid w:val="00E93FDD"/>
    <w:rsid w:val="00E94B72"/>
    <w:rsid w:val="00E9510D"/>
    <w:rsid w:val="00E97C6A"/>
    <w:rsid w:val="00EB3241"/>
    <w:rsid w:val="00EC2CE6"/>
    <w:rsid w:val="00EC6A9C"/>
    <w:rsid w:val="00ED3068"/>
    <w:rsid w:val="00ED3779"/>
    <w:rsid w:val="00ED5807"/>
    <w:rsid w:val="00ED70E6"/>
    <w:rsid w:val="00EF64E9"/>
    <w:rsid w:val="00EF6AE1"/>
    <w:rsid w:val="00F03F67"/>
    <w:rsid w:val="00F14246"/>
    <w:rsid w:val="00F14F1F"/>
    <w:rsid w:val="00F15086"/>
    <w:rsid w:val="00F15A81"/>
    <w:rsid w:val="00F23B76"/>
    <w:rsid w:val="00F23C81"/>
    <w:rsid w:val="00F311D3"/>
    <w:rsid w:val="00F35A0B"/>
    <w:rsid w:val="00F4496E"/>
    <w:rsid w:val="00F54248"/>
    <w:rsid w:val="00F547F5"/>
    <w:rsid w:val="00F603B8"/>
    <w:rsid w:val="00F61B8E"/>
    <w:rsid w:val="00F63C4F"/>
    <w:rsid w:val="00F84E14"/>
    <w:rsid w:val="00F85142"/>
    <w:rsid w:val="00F9509B"/>
    <w:rsid w:val="00FA209F"/>
    <w:rsid w:val="00FA3708"/>
    <w:rsid w:val="00FA6C6D"/>
    <w:rsid w:val="00FA6ED2"/>
    <w:rsid w:val="00FC5781"/>
    <w:rsid w:val="00FD2A09"/>
    <w:rsid w:val="00FD61E4"/>
    <w:rsid w:val="00FE2509"/>
    <w:rsid w:val="00FF0B61"/>
    <w:rsid w:val="00FF12DF"/>
    <w:rsid w:val="0A4C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D0412"/>
    <w:pPr>
      <w:widowControl w:val="0"/>
      <w:spacing w:line="56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D0412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rsid w:val="004D0412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4D0412"/>
    <w:pPr>
      <w:spacing w:after="120"/>
      <w:ind w:leftChars="200" w:left="200" w:firstLineChars="200" w:firstLine="420"/>
    </w:pPr>
  </w:style>
  <w:style w:type="paragraph" w:styleId="a3">
    <w:name w:val="Body Text Indent"/>
    <w:basedOn w:val="a"/>
    <w:qFormat/>
    <w:rsid w:val="004D0412"/>
    <w:pPr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link w:val="Char"/>
    <w:uiPriority w:val="99"/>
    <w:qFormat/>
    <w:rsid w:val="004D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4D0412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4D0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D0412"/>
  </w:style>
  <w:style w:type="paragraph" w:styleId="a8">
    <w:name w:val="header"/>
    <w:basedOn w:val="a"/>
    <w:link w:val="Char0"/>
    <w:uiPriority w:val="99"/>
    <w:rsid w:val="00D7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46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52B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刺猬</dc:creator>
  <cp:lastModifiedBy>陈隆强</cp:lastModifiedBy>
  <cp:revision>4</cp:revision>
  <cp:lastPrinted>2024-07-11T05:52:00Z</cp:lastPrinted>
  <dcterms:created xsi:type="dcterms:W3CDTF">2025-03-13T02:59:00Z</dcterms:created>
  <dcterms:modified xsi:type="dcterms:W3CDTF">2025-03-13T03:27:00Z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888FBD65450A4444998334FA891149D4</vt:lpwstr>
  </property>
</Properties>
</file>