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6A5B0A">
        <w:rPr>
          <w:rFonts w:ascii="仿宋_GB2312" w:eastAsia="仿宋_GB2312" w:hAnsi="Gungsuh" w:hint="eastAsia"/>
          <w:b/>
          <w:sz w:val="36"/>
          <w:szCs w:val="44"/>
        </w:rPr>
        <w:t>4</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6A5B0A">
        <w:rPr>
          <w:rFonts w:ascii="仿宋_GB2312" w:eastAsia="仿宋_GB2312" w:hAnsi="宋体" w:hint="eastAsia"/>
          <w:b/>
          <w:sz w:val="36"/>
          <w:szCs w:val="44"/>
        </w:rPr>
        <w:t>8</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103177">
        <w:rPr>
          <w:rFonts w:ascii="仿宋_GB2312" w:eastAsia="仿宋_GB2312" w:hAnsi="Gungsuh" w:hint="eastAsia"/>
          <w:b/>
          <w:sz w:val="32"/>
          <w:szCs w:val="32"/>
        </w:rPr>
        <w:t>4</w:t>
      </w:r>
      <w:r>
        <w:rPr>
          <w:rFonts w:ascii="仿宋_GB2312" w:eastAsia="仿宋_GB2312" w:hAnsi="Gungsuh" w:hint="eastAsia"/>
          <w:b/>
          <w:sz w:val="32"/>
          <w:szCs w:val="32"/>
        </w:rPr>
        <w:t>月</w:t>
      </w:r>
      <w:r w:rsidR="006A5B0A">
        <w:rPr>
          <w:rFonts w:ascii="仿宋_GB2312" w:eastAsia="仿宋_GB2312" w:hAnsi="Gungsuh" w:hint="eastAsia"/>
          <w:b/>
          <w:sz w:val="32"/>
          <w:szCs w:val="32"/>
        </w:rPr>
        <w:t>11</w:t>
      </w:r>
      <w:r>
        <w:rPr>
          <w:rFonts w:ascii="仿宋_GB2312" w:eastAsia="仿宋_GB2312" w:hAnsi="Gungsuh" w:hint="eastAsia"/>
          <w:b/>
          <w:sz w:val="32"/>
          <w:szCs w:val="32"/>
        </w:rPr>
        <w:t>日</w:t>
      </w:r>
    </w:p>
    <w:p w:rsidR="004D0412" w:rsidRDefault="00F045B9">
      <w:pPr>
        <w:spacing w:line="400" w:lineRule="exact"/>
        <w:rPr>
          <w:rFonts w:ascii="仿宋_GB2312" w:eastAsia="仿宋_GB2312" w:hAnsi="Gungsuh"/>
          <w:b/>
          <w:sz w:val="32"/>
          <w:szCs w:val="32"/>
        </w:rPr>
      </w:pPr>
      <w:r w:rsidRPr="00F045B9">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ascii="仿宋_GB2312" w:hint="eastAsia"/>
          <w:b/>
          <w:bCs/>
          <w:sz w:val="32"/>
          <w:szCs w:val="32"/>
        </w:rPr>
        <w:t>我省与华为云展开新合作</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ascii="仿宋_GB2312" w:hint="eastAsia"/>
          <w:b/>
          <w:bCs/>
          <w:sz w:val="32"/>
          <w:szCs w:val="32"/>
        </w:rPr>
        <w:t>贵州省推进部署水资源论证报告AI智能审查应用</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ascii="仿宋_GB2312" w:hint="eastAsia"/>
          <w:b/>
          <w:bCs/>
          <w:sz w:val="32"/>
          <w:szCs w:val="32"/>
        </w:rPr>
        <w:t>贵数所颁发首张“银发经济”数据商凭证</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hint="eastAsia"/>
        </w:rPr>
        <w:t xml:space="preserve"> </w:t>
      </w:r>
      <w:r w:rsidR="00011093" w:rsidRPr="00011093">
        <w:rPr>
          <w:rFonts w:ascii="仿宋_GB2312" w:hint="eastAsia"/>
          <w:b/>
          <w:bCs/>
          <w:sz w:val="32"/>
          <w:szCs w:val="32"/>
        </w:rPr>
        <w:t>2025年可信数据空间创新发展试点工作启动</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hint="eastAsia"/>
        </w:rPr>
        <w:t xml:space="preserve"> </w:t>
      </w:r>
      <w:r w:rsidR="00011093" w:rsidRPr="00011093">
        <w:rPr>
          <w:rFonts w:ascii="仿宋_GB2312" w:hint="eastAsia"/>
          <w:b/>
          <w:bCs/>
          <w:sz w:val="32"/>
          <w:szCs w:val="32"/>
        </w:rPr>
        <w:t>2025年湖南绿色智能计算产业规模预计突破1万亿元</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ascii="仿宋_GB2312" w:hint="eastAsia"/>
          <w:b/>
          <w:bCs/>
          <w:sz w:val="32"/>
          <w:szCs w:val="32"/>
        </w:rPr>
        <w:t>《江苏省软件产业促进条例》发布</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ascii="仿宋_GB2312" w:hint="eastAsia"/>
          <w:b/>
          <w:bCs/>
          <w:sz w:val="32"/>
          <w:szCs w:val="32"/>
        </w:rPr>
        <w:t>我国生态环境监测网络加快数智化转型</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ascii="仿宋_GB2312" w:hint="eastAsia"/>
          <w:b/>
          <w:bCs/>
          <w:sz w:val="32"/>
          <w:szCs w:val="32"/>
        </w:rPr>
        <w:t>全国首个气象AI-MaaS平台落地上海</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hint="eastAsia"/>
        </w:rPr>
        <w:t xml:space="preserve"> </w:t>
      </w:r>
      <w:r w:rsidR="00011093" w:rsidRPr="00011093">
        <w:rPr>
          <w:rFonts w:ascii="仿宋_GB2312" w:hint="eastAsia"/>
          <w:b/>
          <w:bCs/>
          <w:sz w:val="32"/>
          <w:szCs w:val="32"/>
        </w:rPr>
        <w:t>AI新工具能评估多发性硬化症疗效</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A526FA" w:rsidRPr="00A526FA" w:rsidRDefault="00A526FA"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526FA">
        <w:rPr>
          <w:rFonts w:ascii="方正小标宋简体" w:eastAsia="方正小标宋简体" w:hint="eastAsia"/>
          <w:sz w:val="44"/>
          <w:szCs w:val="44"/>
        </w:rPr>
        <w:lastRenderedPageBreak/>
        <w:t>我省与华为云展开新合作</w:t>
      </w:r>
    </w:p>
    <w:p w:rsidR="00A526FA" w:rsidRPr="00A526FA" w:rsidRDefault="00A526FA" w:rsidP="00265E40">
      <w:pPr>
        <w:pStyle w:val="a5"/>
        <w:shd w:val="clear" w:color="auto" w:fill="FFFFFF"/>
        <w:spacing w:beforeAutospacing="0" w:afterAutospacing="0" w:line="600" w:lineRule="exact"/>
        <w:jc w:val="center"/>
        <w:rPr>
          <w:rFonts w:ascii="仿宋_GB2312" w:eastAsia="仿宋_GB2312" w:hint="eastAsia"/>
          <w:sz w:val="32"/>
          <w:szCs w:val="32"/>
        </w:rPr>
      </w:pPr>
      <w:r w:rsidRPr="00A526FA">
        <w:rPr>
          <w:rFonts w:ascii="仿宋_GB2312" w:eastAsia="仿宋_GB2312" w:hint="eastAsia"/>
          <w:sz w:val="32"/>
          <w:szCs w:val="32"/>
        </w:rPr>
        <w:t>（2025-04-09）</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4月8日，在贵阳举行的“可信AI数据空间”价值共创（贵州）高峰论坛上，贵州省大数据发展管理局与华为云作为主要发起单位，联合中国信通院及相关企业启动“可信AI数据空间”创新探索。</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当前，贵州已形成“立法保障+算力支撑+场景应用”的完整生态闭环，具备全国领先的要素市场化配置基础，正以建设国家数据要素综合试验区为契机，通过构建可信数据空间体系，着力破解数据“不敢流通、不愿流通、不会流通”的三大梗阻，让数据要素真正成为高质量发展的核心动能。</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可信AI数据空间”探索将围绕多主体身份互信、数据确权、高质量AI数据集开发利用、模型合规训练与推理等关键问题展开，同时推进“1+1+2”三大创新，即构筑“合规治理、价值共创”的治理新体系、引领“一湖一链三引擎”平台新架构，以及攻关“数字护照、机密沙箱”两项核心技术。</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贵州与华为云将通过组织工作会议、专题研讨会、技术沙龙等形式，促进各方在技术创新过程中的深度对接，并开展相关技术、服务、管理等方面的标准化工作，探索可信数据空间与AI大模型融合创新，推动“人工智能+”行动赋能千行万业。</w:t>
      </w:r>
    </w:p>
    <w:p w:rsid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接下来，贵州还将制定《贵州省可信数据空间实施方案》，与华为云一起深化政策引导、技术突破与场景实践的融合，以“可信AI数据空间”为支点，加速国家数据要素综合试验区建设。</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（来源：贵州日报）</w:t>
      </w:r>
    </w:p>
    <w:p w:rsidR="00A526FA" w:rsidRPr="00A526FA" w:rsidRDefault="00A526FA" w:rsidP="00265E40">
      <w:pPr>
        <w:pStyle w:val="a5"/>
        <w:shd w:val="clear" w:color="auto" w:fill="FFFFFF"/>
        <w:spacing w:beforeAutospacing="0" w:afterAutospacing="0" w:line="600" w:lineRule="exact"/>
        <w:rPr>
          <w:rFonts w:ascii="仿宋_GB2312" w:eastAsia="仿宋_GB2312"/>
          <w:sz w:val="32"/>
          <w:szCs w:val="32"/>
        </w:rPr>
      </w:pPr>
    </w:p>
    <w:p w:rsidR="00B56109" w:rsidRDefault="00A526FA"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526FA">
        <w:rPr>
          <w:rFonts w:ascii="方正小标宋简体" w:eastAsia="方正小标宋简体" w:hint="eastAsia"/>
          <w:sz w:val="44"/>
          <w:szCs w:val="44"/>
        </w:rPr>
        <w:t>贵州省推进部署水资源论证报告</w:t>
      </w:r>
    </w:p>
    <w:p w:rsidR="00A526FA" w:rsidRPr="00A526FA" w:rsidRDefault="00A526FA"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526FA">
        <w:rPr>
          <w:rFonts w:ascii="方正小标宋简体" w:eastAsia="方正小标宋简体" w:hint="eastAsia"/>
          <w:sz w:val="44"/>
          <w:szCs w:val="44"/>
        </w:rPr>
        <w:t>AI智能审查应用</w:t>
      </w:r>
    </w:p>
    <w:p w:rsidR="00A526FA" w:rsidRPr="00A526FA" w:rsidRDefault="00A526FA" w:rsidP="00265E40">
      <w:pPr>
        <w:pStyle w:val="a5"/>
        <w:shd w:val="clear" w:color="auto" w:fill="FFFFFF"/>
        <w:spacing w:beforeAutospacing="0" w:afterAutospacing="0" w:line="600" w:lineRule="exact"/>
        <w:jc w:val="center"/>
        <w:rPr>
          <w:rFonts w:ascii="仿宋_GB2312" w:eastAsia="仿宋_GB2312" w:hint="eastAsia"/>
          <w:sz w:val="32"/>
          <w:szCs w:val="32"/>
        </w:rPr>
      </w:pPr>
      <w:r w:rsidRPr="00A526FA">
        <w:rPr>
          <w:rFonts w:ascii="仿宋_GB2312" w:eastAsia="仿宋_GB2312" w:hint="eastAsia"/>
          <w:sz w:val="32"/>
          <w:szCs w:val="32"/>
        </w:rPr>
        <w:t>（2025-04-08）</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利用水资源论证报告智能审查系统，20分钟内能完成38项主要指标审查，综合准确率超90%，高效完成水资源论证和取水许可审批。4月8日，记者从贵州省水利厅获悉，目前我省正全力推进部署全国首个水资源论证报告AI智能审查应用，为落实水资源刚性约束制度和“四水四定”助力。</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水资源论证报告AI智能审查应用以“水利+AI”应用为技术指导，深度融合文档报告智能解析、RAG知识检索增强、大语言模型推理等前沿技术，研发的水资源论证报告智能审查系统。是贵州省水利厅联合珠江委水资源管理处，在珠江水利科学研究院技术团队支撑下，充分借助人工智能、大数据等新技术优势，打造“水利+AI”取水许可和水资源论证管理新模式。目的是为规范贵州省水资源论证报告技术审查工作，提高审查效率，同时提升论证报告书编制质量。</w:t>
      </w:r>
    </w:p>
    <w:p w:rsid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据了解，取水许可审批属于多综合、强专业的行政许可事项，涉及农业、工业、生活各领域，当前主要依靠人工审核。“人工审查阶段，需邀请3至5名专家，从审查到形成初步意见至少需要一周时间。”贵州省水利厅水资源管理处相关人员介绍，部署水资源论证报告AI智能审查应用不仅能提高整个工作效率，还能弥补基层相关技术力量不足的问题，切实减轻基层负担。目前，该应用已完成开发测试，下一步将在全省部署应用。</w:t>
      </w:r>
    </w:p>
    <w:p w:rsidR="00A526FA" w:rsidRPr="00A526FA" w:rsidRDefault="00A526FA" w:rsidP="00265E40">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（来源：贵州日报报刊社）</w:t>
      </w:r>
    </w:p>
    <w:p w:rsidR="00A526FA" w:rsidRPr="00A526FA" w:rsidRDefault="00A526FA" w:rsidP="00265E40">
      <w:pPr>
        <w:pStyle w:val="a5"/>
        <w:shd w:val="clear" w:color="auto" w:fill="FFFFFF"/>
        <w:spacing w:beforeAutospacing="0" w:afterAutospacing="0" w:line="600" w:lineRule="exact"/>
        <w:rPr>
          <w:rFonts w:ascii="仿宋_GB2312" w:eastAsia="仿宋_GB2312"/>
          <w:sz w:val="32"/>
          <w:szCs w:val="32"/>
        </w:rPr>
      </w:pPr>
    </w:p>
    <w:p w:rsidR="00B56109" w:rsidRPr="00B56109" w:rsidRDefault="00B56109"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B56109">
        <w:rPr>
          <w:rFonts w:ascii="方正小标宋简体" w:eastAsia="方正小标宋简体" w:hint="eastAsia"/>
          <w:sz w:val="44"/>
          <w:szCs w:val="44"/>
        </w:rPr>
        <w:t>贵数所颁发首张“银发经济”数据商凭证</w:t>
      </w:r>
    </w:p>
    <w:p w:rsidR="00B56109" w:rsidRPr="00A526FA" w:rsidRDefault="00B56109" w:rsidP="00265E40">
      <w:pPr>
        <w:pStyle w:val="a5"/>
        <w:shd w:val="clear" w:color="auto" w:fill="FFFFFF"/>
        <w:spacing w:beforeAutospacing="0" w:afterAutospacing="0" w:line="600" w:lineRule="exact"/>
        <w:jc w:val="center"/>
        <w:rPr>
          <w:rFonts w:ascii="仿宋_GB2312" w:eastAsia="仿宋_GB2312" w:hint="eastAsia"/>
          <w:sz w:val="32"/>
          <w:szCs w:val="32"/>
        </w:rPr>
      </w:pPr>
      <w:r w:rsidRPr="00A526FA">
        <w:rPr>
          <w:rFonts w:ascii="仿宋_GB2312" w:eastAsia="仿宋_GB2312" w:hint="eastAsia"/>
          <w:sz w:val="32"/>
          <w:szCs w:val="32"/>
        </w:rPr>
        <w:t>（2025-04-10）</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日前，贵州益智慧科技开发有限公司获得贵阳大数据交易所颁发的首张“银发经济”领域数据商凭证，标志着贵阳大数据交易所数据生态机构“银发经济”市场板块向数据要素市场化配置领域迈出了坚实一步。</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作为国内领先的智慧养老科技企业，益智慧科技率先实现了居家养老数据资源归集、释放、应用，首创并自主研发“全域互助养老”平台，实现服务全流程数字化管理，已为居家养老的老年人提供包括生活帮助、紧急救助等300多项养老服务。</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益智慧科技依托区块链存证、加密传输、权限分级等技术，构建了覆盖数据采集、存储、共享、销毁的全生命周期安全屏障，为益智慧科技深度释放数据价值、赋能银发经济前端提供了重要支撑。该公司相关负责人表示，依托数据商凭证，公司将在严格保护用户隐私与数据安全的基础上，深度挖掘数据价值，通过数据确权、共享和可信流通，推动数据在养老产业链中提升服务匹配精准度、跃升服务效能、创新资源整合等方面的多元应用，构建“居家—社区—机构”协同网络，推动养老服务向精准化、高效化和可持续发展。</w:t>
      </w:r>
    </w:p>
    <w:p w:rsidR="00B56109"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贵阳大数据交易所下一步将携手益智慧科技在“银发经济”数据要素市场展开全方位的合作，共同推动“银发经济”数据要素市场规范化、高效化发展。</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（来源：贵州日报）</w:t>
      </w:r>
    </w:p>
    <w:p w:rsidR="00B56109" w:rsidRDefault="00B56109" w:rsidP="00265E40">
      <w:pPr>
        <w:pStyle w:val="a5"/>
        <w:shd w:val="clear" w:color="auto" w:fill="FFFFFF"/>
        <w:spacing w:beforeAutospacing="0" w:afterAutospacing="0" w:line="600" w:lineRule="exact"/>
        <w:rPr>
          <w:rFonts w:ascii="仿宋_GB2312" w:eastAsia="仿宋_GB2312" w:hint="eastAsia"/>
          <w:sz w:val="32"/>
          <w:szCs w:val="32"/>
        </w:rPr>
      </w:pPr>
    </w:p>
    <w:p w:rsidR="00265E40" w:rsidRPr="00265E40" w:rsidRDefault="00265E40"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265E40">
        <w:rPr>
          <w:rFonts w:ascii="方正小标宋简体" w:eastAsia="方正小标宋简体" w:hint="eastAsia"/>
          <w:sz w:val="44"/>
          <w:szCs w:val="44"/>
        </w:rPr>
        <w:t>2025年可信数据空间创新发展试点工作启动</w:t>
      </w:r>
    </w:p>
    <w:p w:rsidR="00265E40" w:rsidRPr="00265E40" w:rsidRDefault="00265E40" w:rsidP="00265E40">
      <w:pPr>
        <w:pStyle w:val="a5"/>
        <w:shd w:val="clear" w:color="auto" w:fill="FFFFFF"/>
        <w:spacing w:beforeAutospacing="0" w:afterAutospacing="0" w:line="600" w:lineRule="exact"/>
        <w:jc w:val="center"/>
        <w:rPr>
          <w:rFonts w:ascii="仿宋_GB2312" w:eastAsia="仿宋_GB2312" w:hint="eastAsia"/>
          <w:sz w:val="32"/>
          <w:szCs w:val="32"/>
        </w:rPr>
      </w:pPr>
      <w:r w:rsidRPr="00265E40">
        <w:rPr>
          <w:rFonts w:ascii="仿宋_GB2312" w:eastAsia="仿宋_GB2312" w:hint="eastAsia"/>
          <w:sz w:val="32"/>
          <w:szCs w:val="32"/>
        </w:rPr>
        <w:t>（2025-04-07）</w:t>
      </w:r>
    </w:p>
    <w:p w:rsidR="00265E40" w:rsidRPr="00265E40" w:rsidRDefault="00265E40" w:rsidP="00265E40">
      <w:pPr>
        <w:pStyle w:val="a5"/>
        <w:shd w:val="clear" w:color="auto" w:fill="FFFFFF"/>
        <w:spacing w:beforeAutospacing="0" w:afterAutospacing="0" w:line="600" w:lineRule="exact"/>
        <w:rPr>
          <w:rFonts w:ascii="仿宋_GB2312" w:eastAsia="仿宋_GB2312" w:hint="eastAsia"/>
          <w:sz w:val="32"/>
          <w:szCs w:val="32"/>
        </w:rPr>
      </w:pPr>
      <w:r w:rsidRPr="00265E40">
        <w:rPr>
          <w:rFonts w:ascii="仿宋_GB2312" w:eastAsia="仿宋_GB2312" w:hint="eastAsia"/>
          <w:sz w:val="32"/>
          <w:szCs w:val="32"/>
        </w:rPr>
        <w:t xml:space="preserve">　　新华社北京4月7日电  国家数据局7日对外发布通知，组织开展2025年可信数据空间创新发展试点工作。</w:t>
      </w:r>
    </w:p>
    <w:p w:rsidR="00265E40" w:rsidRPr="00265E40" w:rsidRDefault="00265E40" w:rsidP="00265E40">
      <w:pPr>
        <w:pStyle w:val="a5"/>
        <w:shd w:val="clear" w:color="auto" w:fill="FFFFFF"/>
        <w:spacing w:beforeAutospacing="0" w:afterAutospacing="0" w:line="600" w:lineRule="exact"/>
        <w:rPr>
          <w:rFonts w:ascii="仿宋_GB2312" w:eastAsia="仿宋_GB2312" w:hint="eastAsia"/>
          <w:sz w:val="32"/>
          <w:szCs w:val="32"/>
        </w:rPr>
      </w:pPr>
      <w:r w:rsidRPr="00265E40">
        <w:rPr>
          <w:rFonts w:ascii="仿宋_GB2312" w:eastAsia="仿宋_GB2312" w:hint="eastAsia"/>
          <w:sz w:val="32"/>
          <w:szCs w:val="32"/>
        </w:rPr>
        <w:t xml:space="preserve">　　通知明确，本次试点工作将重点面向应用需求旺盛、发展基础良好、经济社会价值高、示范带动力强的领域，组织开展企业、行业、城市三类可信数据空间试点工作。计划经过两年试点培育，形成一批资源丰富、应用创新、生态繁荣、成效显著的可信数据空间，在数据资源开发利用、数据制度机制创新等方面，形成可复制推广的经验模式，探索数据资源规模化流通利用新模式新路径。</w:t>
      </w:r>
    </w:p>
    <w:p w:rsidR="00265E40" w:rsidRPr="00265E40" w:rsidRDefault="00265E40" w:rsidP="00265E40">
      <w:pPr>
        <w:pStyle w:val="a5"/>
        <w:shd w:val="clear" w:color="auto" w:fill="FFFFFF"/>
        <w:spacing w:beforeAutospacing="0" w:afterAutospacing="0" w:line="600" w:lineRule="exact"/>
        <w:rPr>
          <w:rFonts w:ascii="仿宋_GB2312" w:eastAsia="仿宋_GB2312" w:hint="eastAsia"/>
          <w:sz w:val="32"/>
          <w:szCs w:val="32"/>
        </w:rPr>
      </w:pPr>
      <w:r w:rsidRPr="00265E40">
        <w:rPr>
          <w:rFonts w:ascii="仿宋_GB2312" w:eastAsia="仿宋_GB2312" w:hint="eastAsia"/>
          <w:sz w:val="32"/>
          <w:szCs w:val="32"/>
        </w:rPr>
        <w:t xml:space="preserve">　　据了解，此次试点工作的主要方向为企业可信数据、行业可信数据和城市可信数据空间试点。其中，包括打造应用共创模式、构建数据资源高效流通机制、建立产业生态培育体系、构建可持续运营发展模式、推进可落地易复制的技术路径、探索数据空间互联互通等重点工作任务。</w:t>
      </w:r>
    </w:p>
    <w:p w:rsidR="00265E40" w:rsidRDefault="00265E40" w:rsidP="00265E40">
      <w:pPr>
        <w:pStyle w:val="a5"/>
        <w:shd w:val="clear" w:color="auto" w:fill="FFFFFF"/>
        <w:spacing w:beforeAutospacing="0" w:afterAutospacing="0" w:line="600" w:lineRule="exact"/>
        <w:rPr>
          <w:rFonts w:ascii="仿宋_GB2312" w:eastAsia="仿宋_GB2312" w:hint="eastAsia"/>
          <w:sz w:val="32"/>
          <w:szCs w:val="32"/>
        </w:rPr>
      </w:pPr>
      <w:r w:rsidRPr="00265E40">
        <w:rPr>
          <w:rFonts w:ascii="仿宋_GB2312" w:eastAsia="仿宋_GB2312" w:hint="eastAsia"/>
          <w:sz w:val="32"/>
          <w:szCs w:val="32"/>
        </w:rPr>
        <w:t xml:space="preserve">　　据国家数据局数据资源司相关负责人介绍，此次试点工作的推进，旨在落实《可信数据空间发展行动计划（2024—2028年）》工作部署，引导和支持可信数据空间发展，促进数据要素合规高效流通，深化数据资源开发利用。</w:t>
      </w:r>
    </w:p>
    <w:p w:rsidR="00265E40" w:rsidRPr="00A526FA" w:rsidRDefault="00265E40" w:rsidP="00265E40">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265E40">
        <w:rPr>
          <w:rFonts w:ascii="仿宋_GB2312" w:eastAsia="仿宋_GB2312" w:hint="eastAsia"/>
          <w:sz w:val="32"/>
          <w:szCs w:val="32"/>
        </w:rPr>
        <w:t>（来源：新华网）</w:t>
      </w:r>
    </w:p>
    <w:p w:rsidR="00A526FA" w:rsidRPr="00A526FA" w:rsidRDefault="00A526FA" w:rsidP="00265E40">
      <w:pPr>
        <w:pStyle w:val="a5"/>
        <w:shd w:val="clear" w:color="auto" w:fill="FFFFFF"/>
        <w:spacing w:beforeAutospacing="0" w:afterAutospacing="0" w:line="600" w:lineRule="exact"/>
        <w:rPr>
          <w:rFonts w:ascii="仿宋_GB2312" w:eastAsia="仿宋_GB2312"/>
          <w:sz w:val="32"/>
          <w:szCs w:val="32"/>
        </w:rPr>
      </w:pPr>
    </w:p>
    <w:p w:rsidR="00B56109" w:rsidRDefault="00B56109" w:rsidP="00B56109">
      <w:pPr>
        <w:pStyle w:val="a5"/>
        <w:shd w:val="clear" w:color="auto" w:fill="FFFFFF"/>
        <w:spacing w:beforeAutospacing="0" w:afterAutospacing="0" w:line="640" w:lineRule="exact"/>
        <w:jc w:val="center"/>
        <w:rPr>
          <w:rFonts w:ascii="方正小标宋简体" w:eastAsia="方正小标宋简体" w:hint="eastAsia"/>
          <w:sz w:val="44"/>
          <w:szCs w:val="44"/>
        </w:rPr>
      </w:pPr>
      <w:r w:rsidRPr="00B56109">
        <w:rPr>
          <w:rFonts w:ascii="方正小标宋简体" w:eastAsia="方正小标宋简体" w:hint="eastAsia"/>
          <w:sz w:val="44"/>
          <w:szCs w:val="44"/>
        </w:rPr>
        <w:t>2025年湖南绿色智能计算产业规模</w:t>
      </w:r>
    </w:p>
    <w:p w:rsidR="00B56109" w:rsidRPr="00B56109" w:rsidRDefault="00B56109" w:rsidP="00B56109">
      <w:pPr>
        <w:pStyle w:val="a5"/>
        <w:shd w:val="clear" w:color="auto" w:fill="FFFFFF"/>
        <w:spacing w:beforeAutospacing="0" w:afterAutospacing="0" w:line="640" w:lineRule="exact"/>
        <w:jc w:val="center"/>
        <w:rPr>
          <w:rFonts w:ascii="方正小标宋简体" w:eastAsia="方正小标宋简体" w:hint="eastAsia"/>
          <w:sz w:val="44"/>
          <w:szCs w:val="44"/>
        </w:rPr>
      </w:pPr>
      <w:r w:rsidRPr="00B56109">
        <w:rPr>
          <w:rFonts w:ascii="方正小标宋简体" w:eastAsia="方正小标宋简体" w:hint="eastAsia"/>
          <w:sz w:val="44"/>
          <w:szCs w:val="44"/>
        </w:rPr>
        <w:t>预计突破1万亿元</w:t>
      </w:r>
    </w:p>
    <w:p w:rsidR="00B56109" w:rsidRPr="00A526FA" w:rsidRDefault="00B56109" w:rsidP="00265E40">
      <w:pPr>
        <w:pStyle w:val="a5"/>
        <w:shd w:val="clear" w:color="auto" w:fill="FFFFFF"/>
        <w:spacing w:beforeAutospacing="0" w:afterAutospacing="0"/>
        <w:jc w:val="center"/>
        <w:rPr>
          <w:rFonts w:ascii="仿宋_GB2312" w:eastAsia="仿宋_GB2312" w:hint="eastAsia"/>
          <w:sz w:val="32"/>
          <w:szCs w:val="32"/>
        </w:rPr>
      </w:pPr>
      <w:r w:rsidRPr="00A526FA">
        <w:rPr>
          <w:rFonts w:ascii="仿宋_GB2312" w:eastAsia="仿宋_GB2312" w:hint="eastAsia"/>
          <w:sz w:val="32"/>
          <w:szCs w:val="32"/>
        </w:rPr>
        <w:t>（2025-04-07）</w:t>
      </w:r>
    </w:p>
    <w:p w:rsidR="00B56109" w:rsidRPr="00A526FA" w:rsidRDefault="00B56109" w:rsidP="00265E40">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记者从日前举行的2025中国产业转移发展对接活动（湖南）绿色智能计算产业专场对接活动上获悉，2024年，湖南省绿色智能计算产业规模达8520亿元，同比增长19.2%。2025年，湖南省绿色智能计算产业规模预计突破1万亿元；到2030年，力争产业规模达2万亿元，打造80个特色化行业大模型，建成8个以上特色产业集群。</w:t>
      </w:r>
    </w:p>
    <w:p w:rsidR="00B56109" w:rsidRPr="00A526FA" w:rsidRDefault="00B56109" w:rsidP="00265E40">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近年来，湖南着力打造国家绿色智能计算产业先导区。该省将绿色智能计算作为发展新质生产力的核心引擎，以“三力”（电力、算力、动力）支撑和“四算”（算力、算法、算据、算网）一体布局为引领，以绿色节能降碳增效为方向、智能计算为核心、多元化场景应用为牵引，提出涉及自主安全计算、北斗规模应用、音视频三大核心产业，和人工智能、新一代半导体、新型显示、低空经济、智能衡器计量五大关联产业的“3+5”绿色智能计算产业“湖南方案”。</w:t>
      </w:r>
    </w:p>
    <w:p w:rsidR="00B56109" w:rsidRPr="00A526FA" w:rsidRDefault="00B56109" w:rsidP="00265E40">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会上，14个重点项目签约，总投资74.43亿元。这些项目涵盖智能设备生产等绿色智能计算产业链关键环节，投资体量大、科技含量高、产业带动性强，体现了“研发、生产、应用”三位一体的产业链布局。项目的落地，有望助力湖南在智能终端、绿色能源、先进计量等领域实现重要突破，加速产业数字化转型和绿色低碳发展进程，助力“3+5”绿色智能计算产业体系生态构建。</w:t>
      </w:r>
    </w:p>
    <w:p w:rsidR="00B56109" w:rsidRDefault="00B56109" w:rsidP="00265E40">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本次活动由湖南省工信厅、湖南省市场监督管理局、国家工业信息安全发展研究中心等单位联合主办。会上，国家工业信息安全发展研究中心、中国电子工业标准化技术协会分别发布《2024生成式人工智能全栈技术专利分析报告》《云计算与智算融合产业分析报告》等研究成果，为产业发展提供重要理论支撑和实践指导。</w:t>
      </w:r>
    </w:p>
    <w:p w:rsidR="00B56109" w:rsidRPr="00A526FA" w:rsidRDefault="00B56109" w:rsidP="00265E40">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（来源：科技日报）</w:t>
      </w:r>
    </w:p>
    <w:p w:rsidR="00A526FA" w:rsidRPr="00A526FA" w:rsidRDefault="00A526FA" w:rsidP="00265E40">
      <w:pPr>
        <w:pStyle w:val="a5"/>
        <w:shd w:val="clear" w:color="auto" w:fill="FFFFFF"/>
        <w:spacing w:beforeAutospacing="0" w:afterAutospacing="0"/>
        <w:rPr>
          <w:rFonts w:ascii="仿宋_GB2312" w:eastAsia="仿宋_GB2312"/>
          <w:sz w:val="32"/>
          <w:szCs w:val="32"/>
        </w:rPr>
      </w:pPr>
    </w:p>
    <w:p w:rsidR="00B56109" w:rsidRPr="00B56109" w:rsidRDefault="00B56109" w:rsidP="00265E40">
      <w:pPr>
        <w:pStyle w:val="a5"/>
        <w:shd w:val="clear" w:color="auto" w:fill="FFFFFF"/>
        <w:spacing w:beforeAutospacing="0" w:afterAutospacing="0"/>
        <w:jc w:val="center"/>
        <w:rPr>
          <w:rFonts w:ascii="方正小标宋简体" w:eastAsia="方正小标宋简体" w:hint="eastAsia"/>
          <w:sz w:val="44"/>
          <w:szCs w:val="44"/>
        </w:rPr>
      </w:pPr>
      <w:r w:rsidRPr="00B56109">
        <w:rPr>
          <w:rFonts w:ascii="方正小标宋简体" w:eastAsia="方正小标宋简体" w:hint="eastAsia"/>
          <w:sz w:val="44"/>
          <w:szCs w:val="44"/>
        </w:rPr>
        <w:t>《江苏省软件产业促进条例》发布</w:t>
      </w:r>
    </w:p>
    <w:p w:rsidR="00B56109" w:rsidRPr="00A526FA" w:rsidRDefault="00B56109" w:rsidP="00265E40">
      <w:pPr>
        <w:pStyle w:val="a5"/>
        <w:shd w:val="clear" w:color="auto" w:fill="FFFFFF"/>
        <w:spacing w:beforeAutospacing="0" w:afterAutospacing="0"/>
        <w:jc w:val="center"/>
        <w:rPr>
          <w:rFonts w:ascii="仿宋_GB2312" w:eastAsia="仿宋_GB2312" w:hint="eastAsia"/>
          <w:sz w:val="32"/>
          <w:szCs w:val="32"/>
        </w:rPr>
      </w:pPr>
      <w:r w:rsidRPr="00A526FA">
        <w:rPr>
          <w:rFonts w:ascii="仿宋_GB2312" w:eastAsia="仿宋_GB2312" w:hint="eastAsia"/>
          <w:sz w:val="32"/>
          <w:szCs w:val="32"/>
        </w:rPr>
        <w:t>（2025-04-04）</w:t>
      </w:r>
    </w:p>
    <w:p w:rsidR="00B56109" w:rsidRPr="00A526FA" w:rsidRDefault="00B56109" w:rsidP="00265E40">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江苏省十四届人大常委会第十三次会议审议通过修订后的《江苏省软件产业促进条例》，将于2025年5月1日起施行。</w:t>
      </w:r>
    </w:p>
    <w:p w:rsidR="00B56109" w:rsidRDefault="00B56109" w:rsidP="00265E40">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该条例共七章五十二条，从促进自主创新、布局协同发展、保护知识产权、强化人才支撑、提供服务保障等方面作出规定。主要内容有：一是构建自主创新体系。以明确和落实各级政府责任、职能部门责任和企业单位主体责任为抓手，统筹建设软件产业自主创新体系，建立以企业为主体、政产学研用协同的创新机制，加强软件产业基础研究，推进核心技术、关键产品、集成应用等体系化创新，重点突破基础软件、工业软件、安全软件、平台软件等关键软件，系统布局生成式人工智能软件、量子信息软件、卫星互联网软件等前沿技术软件发展，推动形成多层次多领域创新格局。二是优化协同发展格局。各地、各部门应当结合本地区实际，通过规划引导、政策支持等方式，在特色优势软件领域加快重大项目推进，构建开放协同的现代软件产业体系。三是加强知识产权保护。支持和引导软件领域创新成果通过申请专利和集成电路布图设计专有权登记、著作权登记等方式加强知识产权保护。四是强化软件人才支撑。各级政府以及有关部门制定和完善培养、引进软件产业人才的政策措施，将软件产业高层次、高技能、急需紧缺人才纳入计划。五是提供优质服务保障。要求各级政府以及有关部门做好优惠政策的宣传和辅导，采取有效措施确保优惠政策及时兑现，鼓励运用数字化手段精准匹配企业需求和优惠政策。</w:t>
      </w:r>
    </w:p>
    <w:p w:rsidR="00B56109" w:rsidRPr="00A526FA" w:rsidRDefault="00B56109" w:rsidP="00265E40">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（来源：人民邮电报）</w:t>
      </w:r>
    </w:p>
    <w:p w:rsidR="00A526FA" w:rsidRPr="00A526FA" w:rsidRDefault="00A526FA" w:rsidP="00265E40">
      <w:pPr>
        <w:pStyle w:val="a5"/>
        <w:shd w:val="clear" w:color="auto" w:fill="FFFFFF"/>
        <w:spacing w:beforeAutospacing="0" w:afterAutospacing="0"/>
        <w:rPr>
          <w:rFonts w:ascii="仿宋_GB2312" w:eastAsia="仿宋_GB2312"/>
          <w:sz w:val="32"/>
          <w:szCs w:val="32"/>
        </w:rPr>
      </w:pPr>
    </w:p>
    <w:p w:rsidR="00B56109" w:rsidRPr="00B56109" w:rsidRDefault="00B56109"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B56109">
        <w:rPr>
          <w:rFonts w:ascii="方正小标宋简体" w:eastAsia="方正小标宋简体" w:hint="eastAsia"/>
          <w:sz w:val="44"/>
          <w:szCs w:val="44"/>
        </w:rPr>
        <w:t>我国生态环境监测网络加快数智化转型</w:t>
      </w:r>
    </w:p>
    <w:p w:rsidR="00B56109" w:rsidRPr="00A526FA" w:rsidRDefault="00B56109" w:rsidP="00265E40">
      <w:pPr>
        <w:pStyle w:val="a5"/>
        <w:shd w:val="clear" w:color="auto" w:fill="FFFFFF"/>
        <w:spacing w:beforeAutospacing="0" w:afterAutospacing="0" w:line="600" w:lineRule="exact"/>
        <w:jc w:val="center"/>
        <w:rPr>
          <w:rFonts w:ascii="仿宋_GB2312" w:eastAsia="仿宋_GB2312" w:hint="eastAsia"/>
          <w:sz w:val="32"/>
          <w:szCs w:val="32"/>
        </w:rPr>
      </w:pPr>
      <w:r w:rsidRPr="00A526FA">
        <w:rPr>
          <w:rFonts w:ascii="仿宋_GB2312" w:eastAsia="仿宋_GB2312" w:hint="eastAsia"/>
          <w:sz w:val="32"/>
          <w:szCs w:val="32"/>
        </w:rPr>
        <w:t>（2025-04-06）</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新华社北京4月6日电  生态环境部日前印发《国家生态环境监测网络数智化转型方案》，进一步提升技术装备数智化能力，推进建成新一代国家生态环境监测网络。</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生态环境部生态环境监测司司长蒋火华说，这标志着生态环境监测数智化转型迈出实质性步伐。在空气和地表水监测方面，通过开展国控站点数智化改造，让自动监测实现“无人运维”，让手工监测实现“智能采样+智能分析”。在生物多样性监测方面，通过实时传输的红外相机、鸟类鸣声记录仪、两栖爬行动物雷达相机等新型智能设备，基本能够实现生物多样性自动化监测，识别准确率达85%以上。在声环境监测方面，城市功能区声环境质量监测的仪器设备不仅能监测噪声分贝数，还能识别噪声源。</w:t>
      </w:r>
    </w:p>
    <w:p w:rsidR="00B56109"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据悉，方案确立了“两步走”实施路径：2027年实现国家生态环境监测网络标准化、规范化水平大幅提升，在重点区域率先探索以无人运维、智能采样、黑灯实验室、立体遥测为标志的新一代监测网络；2030年实现国家生态环境监测网络系统性重塑，数字化、智能化水平整体跃升，天空地海一体化监测全面实现，监测“智慧大脑”基本建成，总体效能满足美丽中国建设支撑需求，技术装备达到世界领先水平。</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（来源：新华网）</w:t>
      </w:r>
    </w:p>
    <w:p w:rsidR="00B56109" w:rsidRPr="00A526FA" w:rsidRDefault="00B56109" w:rsidP="00265E40">
      <w:pPr>
        <w:pStyle w:val="a5"/>
        <w:shd w:val="clear" w:color="auto" w:fill="FFFFFF"/>
        <w:spacing w:beforeAutospacing="0" w:afterAutospacing="0" w:line="600" w:lineRule="exact"/>
        <w:rPr>
          <w:rFonts w:ascii="仿宋_GB2312" w:eastAsia="仿宋_GB2312"/>
          <w:sz w:val="32"/>
          <w:szCs w:val="32"/>
        </w:rPr>
      </w:pPr>
    </w:p>
    <w:p w:rsidR="00B56109" w:rsidRPr="00B56109" w:rsidRDefault="00B56109" w:rsidP="00265E40">
      <w:pPr>
        <w:pStyle w:val="a5"/>
        <w:shd w:val="clear" w:color="auto" w:fill="FFFFFF"/>
        <w:spacing w:beforeAutospacing="0" w:afterAutospacing="0" w:line="600" w:lineRule="exact"/>
        <w:jc w:val="center"/>
        <w:rPr>
          <w:rFonts w:ascii="方正小标宋简体" w:eastAsia="方正小标宋简体" w:hint="eastAsia"/>
          <w:sz w:val="44"/>
          <w:szCs w:val="44"/>
        </w:rPr>
      </w:pPr>
      <w:r w:rsidRPr="00B56109">
        <w:rPr>
          <w:rFonts w:ascii="方正小标宋简体" w:eastAsia="方正小标宋简体" w:hint="eastAsia"/>
          <w:sz w:val="44"/>
          <w:szCs w:val="44"/>
        </w:rPr>
        <w:t>全国首个气象AI-MaaS平台落地上海</w:t>
      </w:r>
    </w:p>
    <w:p w:rsidR="00B56109" w:rsidRPr="00A526FA" w:rsidRDefault="00B56109" w:rsidP="00265E40">
      <w:pPr>
        <w:pStyle w:val="a5"/>
        <w:shd w:val="clear" w:color="auto" w:fill="FFFFFF"/>
        <w:spacing w:beforeAutospacing="0" w:afterAutospacing="0" w:line="600" w:lineRule="exact"/>
        <w:jc w:val="center"/>
        <w:rPr>
          <w:rFonts w:ascii="仿宋_GB2312" w:eastAsia="仿宋_GB2312" w:hint="eastAsia"/>
          <w:sz w:val="32"/>
          <w:szCs w:val="32"/>
        </w:rPr>
      </w:pPr>
      <w:r w:rsidRPr="00A526FA">
        <w:rPr>
          <w:rFonts w:ascii="仿宋_GB2312" w:eastAsia="仿宋_GB2312" w:hint="eastAsia"/>
          <w:sz w:val="32"/>
          <w:szCs w:val="32"/>
        </w:rPr>
        <w:t>（2025-04-09）</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近日，上海市人工智能气象应用创新中心在徐汇区“模速空间”创新生态社区正式启动建设。</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据了解，上海市人工智能气象应用创新中心是在上海市政府与中国气象局的共同支持下，由上海市气象局、上海市经信委携手上海人工智能实验室等科研单位，以及上海联通等企事业单位创建，致力于打造集人工智能气象应用技术创新、产业孵化以及国际合作于一体的综合性平台。该中心的创建为“人工智能+气象”的应用落地按下了加速键，为上海加快打造人工智能“模塑申城”、提升人工智能发展能级注入了新动力。</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此次创新中心的启动建设，标志着人工智能气象应用开启了崭新的篇章。为进一步整合行业优势资源，推动人工智能与气象实现更深入、更高效的融合，上海联通联合创新中心、国家气象中心及多家人工智能领域头部企事业单位，共同成立战略合作联盟，其中，上海联通将进一步丰富和完善人工智能气象应用的生态体系。</w:t>
      </w:r>
    </w:p>
    <w:p w:rsidR="00B56109" w:rsidRP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为支撑人工智能气象产业孵化和加速应用场景落地，上海联通联合上海市气象局发布了全国首个人工智能气象MaaS平台（Model as a Service，模型即服务）。该平台构建了“强基础设施+大能力平台+高质量运营”的创新体系，通过融合算网基础设施、畅通气象语料资源、整合大模型基础组件，打通了人工智能产业上下游，实现“人工智能+气象”服务一站式开发应用，赋能产业生态共建，加速“人工智能+气象”服务于各行业场景应用。</w:t>
      </w:r>
    </w:p>
    <w:p w:rsidR="00B56109" w:rsidRDefault="00B56109" w:rsidP="00265E40">
      <w:pPr>
        <w:pStyle w:val="a5"/>
        <w:shd w:val="clear" w:color="auto" w:fill="FFFFFF"/>
        <w:spacing w:beforeAutospacing="0" w:afterAutospacing="0" w:line="600" w:lineRule="exact"/>
        <w:rPr>
          <w:rFonts w:ascii="仿宋_GB2312" w:eastAsia="仿宋_GB2312" w:hint="eastAsia"/>
          <w:sz w:val="32"/>
          <w:szCs w:val="32"/>
        </w:rPr>
      </w:pPr>
      <w:r w:rsidRPr="00A526FA">
        <w:rPr>
          <w:rFonts w:ascii="仿宋_GB2312" w:eastAsia="仿宋_GB2312" w:hint="eastAsia"/>
          <w:sz w:val="32"/>
          <w:szCs w:val="32"/>
        </w:rPr>
        <w:t xml:space="preserve">　　未来，上海联通将以人工智能气象应用创新中心的成立为契机，联合上海市气象局及生态合作伙伴，构建“政产学研用”一体化的气象服务产业新生态；重点推动人工智能气象MaaS平台的长效运营，通过探索可管、可控、可计量的城市级气象服务供给模式，降低AI技术应用门槛，并打造“气象+AI+行业”的标杆示范场景；最终目标是建设全国领先的“气象赋能产业”示范高地，为千行百业提供智能化、精准化的气象服务支撑。</w:t>
      </w:r>
    </w:p>
    <w:p w:rsidR="00A526FA" w:rsidRDefault="00B56109" w:rsidP="00265E40">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526FA">
        <w:rPr>
          <w:rFonts w:ascii="仿宋_GB2312" w:eastAsia="仿宋_GB2312" w:hint="eastAsia"/>
          <w:sz w:val="32"/>
          <w:szCs w:val="32"/>
        </w:rPr>
        <w:t>（来源：人民邮电报）</w:t>
      </w:r>
    </w:p>
    <w:p w:rsidR="00B56109" w:rsidRDefault="00B56109" w:rsidP="00265E40">
      <w:pPr>
        <w:pStyle w:val="a5"/>
        <w:shd w:val="clear" w:color="auto" w:fill="FFFFFF"/>
        <w:spacing w:beforeAutospacing="0" w:afterAutospacing="0" w:line="600" w:lineRule="exact"/>
        <w:rPr>
          <w:rFonts w:ascii="仿宋_GB2312" w:eastAsia="仿宋_GB2312" w:hint="eastAsia"/>
          <w:sz w:val="32"/>
          <w:szCs w:val="32"/>
        </w:rPr>
      </w:pPr>
    </w:p>
    <w:p w:rsidR="00A526FA" w:rsidRPr="00265E40" w:rsidRDefault="00A526FA" w:rsidP="00265E40">
      <w:pPr>
        <w:pStyle w:val="a5"/>
        <w:shd w:val="clear" w:color="auto" w:fill="FFFFFF"/>
        <w:spacing w:beforeAutospacing="0" w:afterAutospacing="0"/>
        <w:jc w:val="center"/>
        <w:rPr>
          <w:rFonts w:ascii="方正小标宋简体" w:eastAsia="方正小标宋简体" w:hint="eastAsia"/>
          <w:sz w:val="44"/>
          <w:szCs w:val="44"/>
        </w:rPr>
      </w:pPr>
      <w:r w:rsidRPr="00265E40">
        <w:rPr>
          <w:rFonts w:ascii="方正小标宋简体" w:eastAsia="方正小标宋简体" w:hint="eastAsia"/>
          <w:sz w:val="44"/>
          <w:szCs w:val="44"/>
        </w:rPr>
        <w:t>AI新工具能评估多发性硬化症疗效</w:t>
      </w:r>
    </w:p>
    <w:p w:rsidR="00A526FA" w:rsidRPr="00A526FA" w:rsidRDefault="00A526FA" w:rsidP="00265E40">
      <w:pPr>
        <w:pStyle w:val="a5"/>
        <w:shd w:val="clear" w:color="auto" w:fill="FFFFFF"/>
        <w:spacing w:beforeAutospacing="0" w:afterAutospacing="0"/>
        <w:jc w:val="center"/>
        <w:rPr>
          <w:rFonts w:ascii="仿宋_GB2312" w:eastAsia="仿宋_GB2312" w:hint="eastAsia"/>
          <w:sz w:val="32"/>
          <w:szCs w:val="32"/>
        </w:rPr>
      </w:pPr>
      <w:r w:rsidRPr="00A526FA">
        <w:rPr>
          <w:rFonts w:ascii="仿宋_GB2312" w:eastAsia="仿宋_GB2312" w:hint="eastAsia"/>
          <w:sz w:val="32"/>
          <w:szCs w:val="32"/>
        </w:rPr>
        <w:t>（2025-04-09）</w:t>
      </w:r>
    </w:p>
    <w:p w:rsidR="00A526FA" w:rsidRPr="00A526FA" w:rsidRDefault="00A526FA" w:rsidP="00A526FA">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科技日报北京4月8日电  7日出版的《自然·通讯》杂志刊发论文称，英国伦敦大学学院团队开发出一款新型人工智能（AI）工具MindGlide，可帮助解释和评估多发性硬化症（MS）患者的治疗效果。</w:t>
      </w:r>
    </w:p>
    <w:p w:rsidR="00A526FA" w:rsidRPr="00A526FA" w:rsidRDefault="00A526FA" w:rsidP="00A526FA">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大脑磁共振成像（MRI）标志物对于研究和测试MS的治疗效果至关重要。然而，测量这些标志物需要不同类型的专业扫描设备，很多医院无法做到这一点。MindGlide可以从MS患者护理过程中获得的MRI扫描图像中提取关键信息，例如大脑受损区域、大脑萎缩和斑块等细微变化。</w:t>
      </w:r>
    </w:p>
    <w:p w:rsidR="00A526FA" w:rsidRPr="00A526FA" w:rsidRDefault="00A526FA" w:rsidP="00A526FA">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团队在1000多名MS患者的14000多张图像上测试了MindGlide的有效性。此前，专业神经放射科医生需要几周时间来解释上述复杂的扫描结果。但MindGlide成功借助AI技术，在临床试验和常规护理中检测了不同治疗方法对疾病进展的影响，解释每张图像仅需5到10秒。</w:t>
      </w:r>
    </w:p>
    <w:p w:rsidR="00A526FA" w:rsidRPr="00A526FA" w:rsidRDefault="00A526FA" w:rsidP="00A526FA">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MindGlide的表现也优于其他两款AI工具。而且，测试结果显示，即使MRI数据有限，MindGlide也能准确识别和测量重要的脑组织及病变。</w:t>
      </w:r>
    </w:p>
    <w:p w:rsidR="000F1B98" w:rsidRDefault="00A526FA" w:rsidP="00A526FA">
      <w:pPr>
        <w:pStyle w:val="a5"/>
        <w:shd w:val="clear" w:color="auto" w:fill="FFFFFF"/>
        <w:spacing w:beforeAutospacing="0" w:afterAutospacing="0"/>
        <w:rPr>
          <w:rFonts w:ascii="仿宋_GB2312" w:eastAsia="仿宋_GB2312" w:hint="eastAsia"/>
          <w:sz w:val="32"/>
          <w:szCs w:val="32"/>
        </w:rPr>
      </w:pPr>
      <w:r w:rsidRPr="00A526FA">
        <w:rPr>
          <w:rFonts w:ascii="仿宋_GB2312" w:eastAsia="仿宋_GB2312" w:hint="eastAsia"/>
          <w:sz w:val="32"/>
          <w:szCs w:val="32"/>
        </w:rPr>
        <w:t xml:space="preserve">　　使用MindGlide，医生将能够使用医院档案中现有的大脑图像，更好地了解MS以及治疗对大脑的影响。未来，这款工具或许能从无数张大脑图像中攫取有价值的信息，为临床治疗MS提供重要参考，克服以前仅依赖高质量临床试验数据的局限性。</w:t>
      </w:r>
    </w:p>
    <w:p w:rsidR="00A526FA" w:rsidRPr="00A526FA" w:rsidRDefault="000F1B98" w:rsidP="00A526FA">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00A526FA" w:rsidRPr="00A526FA">
        <w:rPr>
          <w:rFonts w:ascii="仿宋_GB2312" w:eastAsia="仿宋_GB2312" w:hint="eastAsia"/>
          <w:sz w:val="32"/>
          <w:szCs w:val="32"/>
        </w:rPr>
        <w:t>（来源：科技日报）</w:t>
      </w:r>
    </w:p>
    <w:p w:rsidR="00A526FA" w:rsidRPr="00A526FA" w:rsidRDefault="00A526FA" w:rsidP="00A526FA">
      <w:pPr>
        <w:pStyle w:val="a5"/>
        <w:shd w:val="clear" w:color="auto" w:fill="FFFFFF"/>
        <w:spacing w:beforeAutospacing="0" w:afterAutospacing="0"/>
        <w:rPr>
          <w:rFonts w:ascii="仿宋_GB2312" w:eastAsia="仿宋_GB2312"/>
          <w:sz w:val="32"/>
          <w:szCs w:val="32"/>
        </w:rPr>
      </w:pPr>
    </w:p>
    <w:p w:rsidR="00A526FA" w:rsidRPr="00A526FA" w:rsidRDefault="00A526FA" w:rsidP="00A526FA">
      <w:pPr>
        <w:pStyle w:val="a5"/>
        <w:shd w:val="clear" w:color="auto" w:fill="FFFFFF"/>
        <w:spacing w:beforeAutospacing="0" w:afterAutospacing="0"/>
        <w:rPr>
          <w:rFonts w:ascii="仿宋_GB2312" w:eastAsia="仿宋_GB2312"/>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A526FA" w:rsidRDefault="00A526FA" w:rsidP="00A526FA">
      <w:pPr>
        <w:pStyle w:val="a5"/>
        <w:shd w:val="clear" w:color="auto" w:fill="FFFFFF"/>
        <w:spacing w:beforeAutospacing="0" w:afterAutospacing="0"/>
        <w:rPr>
          <w:rFonts w:ascii="仿宋_GB2312" w:eastAsia="仿宋_GB2312" w:hint="eastAsia"/>
          <w:sz w:val="32"/>
          <w:szCs w:val="32"/>
        </w:rPr>
      </w:pPr>
    </w:p>
    <w:p w:rsidR="00336299" w:rsidRDefault="00336299" w:rsidP="00A526FA">
      <w:pPr>
        <w:pStyle w:val="a5"/>
        <w:shd w:val="clear" w:color="auto" w:fill="FFFFFF"/>
        <w:spacing w:beforeAutospacing="0" w:afterAutospacing="0"/>
        <w:rPr>
          <w:rFonts w:ascii="仿宋_GB2312" w:eastAsia="仿宋_GB2312" w:hint="eastAsia"/>
          <w:sz w:val="32"/>
          <w:szCs w:val="32"/>
        </w:rPr>
      </w:pPr>
    </w:p>
    <w:p w:rsidR="00336299" w:rsidRDefault="00336299" w:rsidP="00E449CE">
      <w:pPr>
        <w:pStyle w:val="a5"/>
        <w:shd w:val="clear" w:color="auto" w:fill="FFFFFF"/>
        <w:spacing w:beforeAutospacing="0" w:afterAutospacing="0" w:line="600" w:lineRule="exact"/>
        <w:rPr>
          <w:rFonts w:ascii="仿宋_GB2312" w:eastAsia="仿宋_GB2312"/>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F045B9" w:rsidP="0057220B">
      <w:pPr>
        <w:pStyle w:val="a5"/>
        <w:shd w:val="clear" w:color="auto" w:fill="FFFFFF"/>
        <w:spacing w:beforeAutospacing="0" w:afterAutospacing="0" w:line="520" w:lineRule="exact"/>
        <w:jc w:val="both"/>
      </w:pPr>
      <w:r w:rsidRPr="00F045B9">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2E6" w:rsidRDefault="005422E6">
      <w:pPr>
        <w:spacing w:line="240" w:lineRule="auto"/>
      </w:pPr>
      <w:r>
        <w:separator/>
      </w:r>
    </w:p>
  </w:endnote>
  <w:endnote w:type="continuationSeparator" w:id="0">
    <w:p w:rsidR="005422E6" w:rsidRDefault="005422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F045B9">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F045B9">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5422E6">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F045B9">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2E6" w:rsidRDefault="005422E6">
      <w:pPr>
        <w:spacing w:line="240" w:lineRule="auto"/>
      </w:pPr>
      <w:r>
        <w:separator/>
      </w:r>
    </w:p>
  </w:footnote>
  <w:footnote w:type="continuationSeparator" w:id="0">
    <w:p w:rsidR="005422E6" w:rsidRDefault="005422E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B60E7"/>
    <w:rsid w:val="000C17C9"/>
    <w:rsid w:val="000C2261"/>
    <w:rsid w:val="000C65AE"/>
    <w:rsid w:val="000D175A"/>
    <w:rsid w:val="000D5F8F"/>
    <w:rsid w:val="000D636A"/>
    <w:rsid w:val="000D68D2"/>
    <w:rsid w:val="000E6CF6"/>
    <w:rsid w:val="000F1B98"/>
    <w:rsid w:val="000F6EB0"/>
    <w:rsid w:val="000F7A1E"/>
    <w:rsid w:val="0010073A"/>
    <w:rsid w:val="00103177"/>
    <w:rsid w:val="00112766"/>
    <w:rsid w:val="00123624"/>
    <w:rsid w:val="00126174"/>
    <w:rsid w:val="00137AC5"/>
    <w:rsid w:val="001409DF"/>
    <w:rsid w:val="0014576A"/>
    <w:rsid w:val="001572E6"/>
    <w:rsid w:val="00165EDA"/>
    <w:rsid w:val="00170C0A"/>
    <w:rsid w:val="00172419"/>
    <w:rsid w:val="00173D64"/>
    <w:rsid w:val="00174377"/>
    <w:rsid w:val="001758A8"/>
    <w:rsid w:val="001905A9"/>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65E40"/>
    <w:rsid w:val="002664F4"/>
    <w:rsid w:val="0026681E"/>
    <w:rsid w:val="00272AEC"/>
    <w:rsid w:val="00282F09"/>
    <w:rsid w:val="002867CF"/>
    <w:rsid w:val="00291975"/>
    <w:rsid w:val="00291BC4"/>
    <w:rsid w:val="002950BB"/>
    <w:rsid w:val="002A220E"/>
    <w:rsid w:val="002B0641"/>
    <w:rsid w:val="002C31B4"/>
    <w:rsid w:val="002C6F76"/>
    <w:rsid w:val="002E003E"/>
    <w:rsid w:val="002E05C7"/>
    <w:rsid w:val="002F1BB9"/>
    <w:rsid w:val="002F2F16"/>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709C4"/>
    <w:rsid w:val="003724E1"/>
    <w:rsid w:val="00373F15"/>
    <w:rsid w:val="003872C4"/>
    <w:rsid w:val="00396374"/>
    <w:rsid w:val="003B13B3"/>
    <w:rsid w:val="003B7D1A"/>
    <w:rsid w:val="003C1347"/>
    <w:rsid w:val="003C7A29"/>
    <w:rsid w:val="003D264C"/>
    <w:rsid w:val="003D3B10"/>
    <w:rsid w:val="003D4D4C"/>
    <w:rsid w:val="003D5B3B"/>
    <w:rsid w:val="003E526D"/>
    <w:rsid w:val="003F1229"/>
    <w:rsid w:val="003F438F"/>
    <w:rsid w:val="003F5C40"/>
    <w:rsid w:val="00410B94"/>
    <w:rsid w:val="0041737B"/>
    <w:rsid w:val="00420B03"/>
    <w:rsid w:val="004218E6"/>
    <w:rsid w:val="0044313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30D4A"/>
    <w:rsid w:val="0073614B"/>
    <w:rsid w:val="00742215"/>
    <w:rsid w:val="007527CE"/>
    <w:rsid w:val="0075407B"/>
    <w:rsid w:val="00763EFB"/>
    <w:rsid w:val="00770A25"/>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7099"/>
    <w:rsid w:val="00942EB1"/>
    <w:rsid w:val="00947E85"/>
    <w:rsid w:val="0095392B"/>
    <w:rsid w:val="009629C0"/>
    <w:rsid w:val="00965A88"/>
    <w:rsid w:val="00977ADC"/>
    <w:rsid w:val="009831E1"/>
    <w:rsid w:val="009854B4"/>
    <w:rsid w:val="009A010C"/>
    <w:rsid w:val="009A2F7C"/>
    <w:rsid w:val="009A4E45"/>
    <w:rsid w:val="009A4F3D"/>
    <w:rsid w:val="009A538D"/>
    <w:rsid w:val="009A7E14"/>
    <w:rsid w:val="009B22AF"/>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5437"/>
    <w:rsid w:val="00A12480"/>
    <w:rsid w:val="00A15DEF"/>
    <w:rsid w:val="00A1728A"/>
    <w:rsid w:val="00A2057B"/>
    <w:rsid w:val="00A2119D"/>
    <w:rsid w:val="00A24108"/>
    <w:rsid w:val="00A31EEA"/>
    <w:rsid w:val="00A4314B"/>
    <w:rsid w:val="00A526FA"/>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5705"/>
    <w:rsid w:val="00E23B0C"/>
    <w:rsid w:val="00E2423D"/>
    <w:rsid w:val="00E24506"/>
    <w:rsid w:val="00E314DE"/>
    <w:rsid w:val="00E355FD"/>
    <w:rsid w:val="00E35E76"/>
    <w:rsid w:val="00E449CE"/>
    <w:rsid w:val="00E54D78"/>
    <w:rsid w:val="00E655DE"/>
    <w:rsid w:val="00E73E2F"/>
    <w:rsid w:val="00E82FC8"/>
    <w:rsid w:val="00E84A35"/>
    <w:rsid w:val="00E87C00"/>
    <w:rsid w:val="00E916D5"/>
    <w:rsid w:val="00E93FDD"/>
    <w:rsid w:val="00E94B72"/>
    <w:rsid w:val="00E9510D"/>
    <w:rsid w:val="00E97C6A"/>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12</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6</cp:revision>
  <cp:lastPrinted>2025-04-10T07:06:00Z</cp:lastPrinted>
  <dcterms:created xsi:type="dcterms:W3CDTF">2025-04-10T02:29:00Z</dcterms:created>
  <dcterms:modified xsi:type="dcterms:W3CDTF">2025-04-10T07:56:00Z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