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2E003E">
        <w:rPr>
          <w:rFonts w:ascii="仿宋_GB2312" w:eastAsia="仿宋_GB2312" w:hAnsi="Gungsuh" w:hint="eastAsia"/>
          <w:b/>
          <w:sz w:val="36"/>
          <w:szCs w:val="44"/>
        </w:rPr>
        <w:t>1</w:t>
      </w:r>
      <w:r w:rsidR="00B52C8B">
        <w:rPr>
          <w:rFonts w:ascii="仿宋_GB2312" w:eastAsia="仿宋_GB2312" w:hAnsi="Gungsuh" w:hint="eastAsia"/>
          <w:b/>
          <w:sz w:val="36"/>
          <w:szCs w:val="44"/>
        </w:rPr>
        <w:t>5</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ED70E6">
        <w:rPr>
          <w:rFonts w:ascii="仿宋_GB2312" w:eastAsia="仿宋_GB2312" w:hAnsi="宋体" w:hint="eastAsia"/>
          <w:b/>
          <w:sz w:val="36"/>
          <w:szCs w:val="44"/>
        </w:rPr>
        <w:t>2</w:t>
      </w:r>
      <w:r w:rsidR="00B52C8B">
        <w:rPr>
          <w:rFonts w:ascii="仿宋_GB2312" w:eastAsia="仿宋_GB2312" w:hAnsi="宋体" w:hint="eastAsia"/>
          <w:b/>
          <w:sz w:val="36"/>
          <w:szCs w:val="44"/>
        </w:rPr>
        <w:t>9</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103177">
        <w:rPr>
          <w:rFonts w:ascii="仿宋_GB2312" w:eastAsia="仿宋_GB2312" w:hAnsi="Gungsuh" w:hint="eastAsia"/>
          <w:b/>
          <w:sz w:val="32"/>
          <w:szCs w:val="32"/>
        </w:rPr>
        <w:t>4</w:t>
      </w:r>
      <w:r>
        <w:rPr>
          <w:rFonts w:ascii="仿宋_GB2312" w:eastAsia="仿宋_GB2312" w:hAnsi="Gungsuh" w:hint="eastAsia"/>
          <w:b/>
          <w:sz w:val="32"/>
          <w:szCs w:val="32"/>
        </w:rPr>
        <w:t>月</w:t>
      </w:r>
      <w:r w:rsidR="006A5B0A">
        <w:rPr>
          <w:rFonts w:ascii="仿宋_GB2312" w:eastAsia="仿宋_GB2312" w:hAnsi="Gungsuh" w:hint="eastAsia"/>
          <w:b/>
          <w:sz w:val="32"/>
          <w:szCs w:val="32"/>
        </w:rPr>
        <w:t>1</w:t>
      </w:r>
      <w:r w:rsidR="00B52C8B">
        <w:rPr>
          <w:rFonts w:ascii="仿宋_GB2312" w:eastAsia="仿宋_GB2312" w:hAnsi="Gungsuh" w:hint="eastAsia"/>
          <w:b/>
          <w:sz w:val="32"/>
          <w:szCs w:val="32"/>
        </w:rPr>
        <w:t>8</w:t>
      </w:r>
      <w:r>
        <w:rPr>
          <w:rFonts w:ascii="仿宋_GB2312" w:eastAsia="仿宋_GB2312" w:hAnsi="Gungsuh" w:hint="eastAsia"/>
          <w:b/>
          <w:sz w:val="32"/>
          <w:szCs w:val="32"/>
        </w:rPr>
        <w:t>日</w:t>
      </w:r>
    </w:p>
    <w:p w:rsidR="004D0412" w:rsidRDefault="00FF28F8">
      <w:pPr>
        <w:spacing w:line="400" w:lineRule="exact"/>
        <w:rPr>
          <w:rFonts w:ascii="仿宋_GB2312" w:eastAsia="仿宋_GB2312" w:hAnsi="Gungsuh"/>
          <w:b/>
          <w:sz w:val="32"/>
          <w:szCs w:val="32"/>
        </w:rPr>
      </w:pPr>
      <w:r w:rsidRPr="00FF28F8">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66328" w:rsidRPr="00166328">
        <w:rPr>
          <w:rFonts w:ascii="仿宋_GB2312" w:hint="eastAsia"/>
          <w:b/>
          <w:bCs/>
          <w:sz w:val="32"/>
          <w:szCs w:val="32"/>
        </w:rPr>
        <w:t>贵州药品“电子身份证”上岗</w:t>
      </w:r>
    </w:p>
    <w:p w:rsidR="00166328" w:rsidRDefault="00C32995" w:rsidP="00A2119D">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166328" w:rsidRPr="00166328">
        <w:rPr>
          <w:rFonts w:ascii="仿宋_GB2312" w:hint="eastAsia"/>
          <w:b/>
          <w:bCs/>
          <w:sz w:val="32"/>
          <w:szCs w:val="32"/>
        </w:rPr>
        <w:t>全国一体化算力网络国家（贵州）主枢纽中心项目</w:t>
      </w:r>
    </w:p>
    <w:p w:rsidR="00AC35AB" w:rsidRDefault="00166328"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166328">
        <w:rPr>
          <w:rFonts w:ascii="仿宋_GB2312" w:hint="eastAsia"/>
          <w:b/>
          <w:bCs/>
          <w:sz w:val="32"/>
          <w:szCs w:val="32"/>
        </w:rPr>
        <w:t>获评优秀案例</w:t>
      </w:r>
    </w:p>
    <w:p w:rsidR="00166328" w:rsidRDefault="00C32995">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166328" w:rsidRPr="00166328">
        <w:rPr>
          <w:rFonts w:ascii="仿宋_GB2312" w:hint="eastAsia"/>
          <w:b/>
          <w:bCs/>
          <w:sz w:val="32"/>
          <w:szCs w:val="32"/>
        </w:rPr>
        <w:t>贵州大数据集团获批国务院国资委2025年度“揭榜</w:t>
      </w:r>
    </w:p>
    <w:p w:rsidR="00F9509B" w:rsidRDefault="00166328">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166328">
        <w:rPr>
          <w:rFonts w:ascii="仿宋_GB2312" w:hint="eastAsia"/>
          <w:b/>
          <w:bCs/>
          <w:sz w:val="32"/>
          <w:szCs w:val="32"/>
        </w:rPr>
        <w:t>挂帅”研究课题</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66328" w:rsidRPr="00166328">
        <w:rPr>
          <w:rFonts w:ascii="仿宋_GB2312" w:hint="eastAsia"/>
          <w:b/>
          <w:bCs/>
          <w:sz w:val="32"/>
          <w:szCs w:val="32"/>
        </w:rPr>
        <w:t>九部门：推动学科专业数字化升级和科研范式变革</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66328" w:rsidRPr="00166328">
        <w:rPr>
          <w:rFonts w:ascii="仿宋_GB2312" w:hint="eastAsia"/>
          <w:b/>
          <w:bCs/>
          <w:sz w:val="32"/>
          <w:szCs w:val="32"/>
        </w:rPr>
        <w:t>广东推进“机器人+”与“人工智能+”应用场景</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66328" w:rsidRPr="00166328">
        <w:rPr>
          <w:rFonts w:ascii="仿宋_GB2312" w:hint="eastAsia"/>
          <w:b/>
          <w:bCs/>
          <w:sz w:val="32"/>
          <w:szCs w:val="32"/>
        </w:rPr>
        <w:t>湖南“智赋万企”行动将实现三个“全覆盖”</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66328" w:rsidRPr="00166328">
        <w:rPr>
          <w:rFonts w:ascii="仿宋_GB2312" w:hint="eastAsia"/>
          <w:b/>
          <w:bCs/>
          <w:sz w:val="32"/>
          <w:szCs w:val="32"/>
        </w:rPr>
        <w:t>国家超算互联网平台上线超长文本模型</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166328" w:rsidRPr="00166328">
        <w:rPr>
          <w:rFonts w:ascii="仿宋_GB2312" w:hint="eastAsia"/>
          <w:b/>
          <w:bCs/>
          <w:sz w:val="32"/>
          <w:szCs w:val="32"/>
        </w:rPr>
        <w:t>智慧交通标准化试点项目推出</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011093" w:rsidRPr="00011093">
        <w:rPr>
          <w:rFonts w:hint="eastAsia"/>
        </w:rPr>
        <w:t xml:space="preserve"> </w:t>
      </w:r>
      <w:r w:rsidR="00166328" w:rsidRPr="00166328">
        <w:rPr>
          <w:rFonts w:ascii="仿宋_GB2312" w:hint="eastAsia"/>
          <w:b/>
          <w:bCs/>
          <w:sz w:val="32"/>
          <w:szCs w:val="32"/>
        </w:rPr>
        <w:t>国际能源署称：到2030年AI数据中心电力需求将翻番</w:t>
      </w:r>
    </w:p>
    <w:p w:rsidR="000F7A1E" w:rsidRDefault="000F7A1E" w:rsidP="006D6460">
      <w:pPr>
        <w:pStyle w:val="2"/>
        <w:spacing w:after="0" w:line="460" w:lineRule="exact"/>
        <w:ind w:leftChars="0" w:left="0" w:firstLineChars="0" w:firstLine="0"/>
        <w:jc w:val="left"/>
        <w:rPr>
          <w:rFonts w:ascii="仿宋_GB2312"/>
          <w:sz w:val="32"/>
          <w:szCs w:val="32"/>
        </w:rPr>
      </w:pPr>
    </w:p>
    <w:p w:rsidR="00A073ED" w:rsidRPr="00A073ED" w:rsidRDefault="00A073ED" w:rsidP="00A073ED">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0" w:name="OLE_LINK19"/>
      <w:bookmarkStart w:id="1" w:name="OLE_LINK20"/>
      <w:r w:rsidRPr="00A073ED">
        <w:rPr>
          <w:rFonts w:ascii="方正小标宋简体" w:eastAsia="方正小标宋简体" w:hint="eastAsia"/>
          <w:sz w:val="44"/>
          <w:szCs w:val="44"/>
        </w:rPr>
        <w:lastRenderedPageBreak/>
        <w:t>贵州药品“电子身份证”上岗</w:t>
      </w:r>
      <w:bookmarkEnd w:id="0"/>
      <w:bookmarkEnd w:id="1"/>
    </w:p>
    <w:p w:rsidR="00A073ED" w:rsidRPr="00A073ED" w:rsidRDefault="00A073ED" w:rsidP="00A073ED">
      <w:pPr>
        <w:pStyle w:val="a5"/>
        <w:shd w:val="clear" w:color="auto" w:fill="FFFFFF"/>
        <w:spacing w:beforeAutospacing="0" w:afterAutospacing="0" w:line="600" w:lineRule="exact"/>
        <w:jc w:val="center"/>
        <w:rPr>
          <w:rFonts w:ascii="仿宋_GB2312" w:eastAsia="仿宋_GB2312" w:hint="eastAsia"/>
          <w:sz w:val="32"/>
          <w:szCs w:val="32"/>
        </w:rPr>
      </w:pPr>
      <w:r w:rsidRPr="00A073ED">
        <w:rPr>
          <w:rFonts w:ascii="仿宋_GB2312" w:eastAsia="仿宋_GB2312" w:hint="eastAsia"/>
          <w:sz w:val="32"/>
          <w:szCs w:val="32"/>
        </w:rPr>
        <w:t>（2025-04-14）</w:t>
      </w:r>
    </w:p>
    <w:p w:rsidR="00A073ED" w:rsidRPr="00A073ED" w:rsidRDefault="00A073ED" w:rsidP="00A073ED">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4月11日，记者从省医保局获悉，贵州省全面施行“无码不结”新规。</w:t>
      </w:r>
    </w:p>
    <w:p w:rsidR="00A073ED" w:rsidRPr="00A073ED" w:rsidRDefault="00A073ED" w:rsidP="00A073ED">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自今年4月1日起，省内定点零售药店销售医保药品，须采集追溯码并上传追溯信息方可结算。该举措旨在规范药店销售行为，杜绝串换药品、虚假结算等违规现象，保障参保群众合法权益。</w:t>
      </w:r>
    </w:p>
    <w:p w:rsidR="00A073ED" w:rsidRPr="00A073ED" w:rsidRDefault="00A073ED" w:rsidP="00A073ED">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药品追溯码是药品“电子身份证”，“一药一码”可实现全流程追溯，让假药、回流药无所遁形。目前，贵州追溯系统覆盖全省10个统筹区，1.6万余家定点零售药店实现“无码不结”全覆盖。</w:t>
      </w:r>
    </w:p>
    <w:p w:rsidR="00A073ED" w:rsidRPr="00A073ED" w:rsidRDefault="00A073ED" w:rsidP="00A073ED">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为保障新规平稳施行，贵州各方积极行动。自今年1月起，医保部门审核全省定点零售药店重复追溯码结算数据，重点检查重复结算、串换等行为，对违规违约情况严格按协议处理。</w:t>
      </w:r>
    </w:p>
    <w:p w:rsidR="00A073ED" w:rsidRPr="00A073ED" w:rsidRDefault="00A073ED" w:rsidP="00A073ED">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全省药店也主动作为，在店内醒目位置张贴《贵州省药品零售行业商会致全省医药从业者及市民的倡议书》，践行自律精神，严守行业规范，筑牢药品流通防线。</w:t>
      </w:r>
    </w:p>
    <w:p w:rsidR="00A073ED" w:rsidRDefault="00A073ED" w:rsidP="00A073ED">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参保群众在购药时，可通过国家医保局官方平台、贵州医保APP及其官方微信公众号等渠道，扫描药品追溯码核验。若发现药品此前已被出售，可向医保部门举报。药品追溯码管理是守护医保基金安全、维护患者用药权益的重要举措。</w:t>
      </w:r>
    </w:p>
    <w:p w:rsidR="00A073ED" w:rsidRPr="00A073ED" w:rsidRDefault="00A073ED" w:rsidP="00A073ED">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073ED">
        <w:rPr>
          <w:rFonts w:ascii="仿宋_GB2312" w:eastAsia="仿宋_GB2312" w:hint="eastAsia"/>
          <w:sz w:val="32"/>
          <w:szCs w:val="32"/>
        </w:rPr>
        <w:t>（来源：贵州日报）</w:t>
      </w:r>
    </w:p>
    <w:p w:rsidR="00A073ED" w:rsidRDefault="00A073ED" w:rsidP="00A073ED">
      <w:pPr>
        <w:pStyle w:val="a5"/>
        <w:shd w:val="clear" w:color="auto" w:fill="FFFFFF"/>
        <w:spacing w:beforeAutospacing="0" w:afterAutospacing="0" w:line="720" w:lineRule="exact"/>
        <w:jc w:val="center"/>
        <w:rPr>
          <w:rFonts w:ascii="方正小标宋简体" w:eastAsia="方正小标宋简体" w:hint="eastAsia"/>
          <w:sz w:val="44"/>
          <w:szCs w:val="44"/>
        </w:rPr>
      </w:pPr>
      <w:bookmarkStart w:id="2" w:name="OLE_LINK17"/>
      <w:bookmarkStart w:id="3" w:name="OLE_LINK18"/>
      <w:r w:rsidRPr="00A073ED">
        <w:rPr>
          <w:rFonts w:ascii="方正小标宋简体" w:eastAsia="方正小标宋简体" w:hint="eastAsia"/>
          <w:sz w:val="44"/>
          <w:szCs w:val="44"/>
        </w:rPr>
        <w:t>全国一体化算力网络国家（贵州）主枢纽</w:t>
      </w:r>
    </w:p>
    <w:p w:rsidR="00A073ED" w:rsidRPr="00A073ED" w:rsidRDefault="00A073ED" w:rsidP="00A073ED">
      <w:pPr>
        <w:pStyle w:val="a5"/>
        <w:shd w:val="clear" w:color="auto" w:fill="FFFFFF"/>
        <w:spacing w:beforeAutospacing="0" w:afterAutospacing="0" w:line="720" w:lineRule="exact"/>
        <w:jc w:val="center"/>
        <w:rPr>
          <w:rFonts w:ascii="方正小标宋简体" w:eastAsia="方正小标宋简体" w:hint="eastAsia"/>
          <w:sz w:val="44"/>
          <w:szCs w:val="44"/>
        </w:rPr>
      </w:pPr>
      <w:r w:rsidRPr="00A073ED">
        <w:rPr>
          <w:rFonts w:ascii="方正小标宋简体" w:eastAsia="方正小标宋简体" w:hint="eastAsia"/>
          <w:sz w:val="44"/>
          <w:szCs w:val="44"/>
        </w:rPr>
        <w:t>中心项目获评优秀案例</w:t>
      </w:r>
      <w:bookmarkEnd w:id="2"/>
      <w:bookmarkEnd w:id="3"/>
    </w:p>
    <w:p w:rsidR="00A073ED" w:rsidRPr="00A073ED" w:rsidRDefault="00A073ED" w:rsidP="000876BF">
      <w:pPr>
        <w:pStyle w:val="a5"/>
        <w:shd w:val="clear" w:color="auto" w:fill="FFFFFF"/>
        <w:spacing w:beforeAutospacing="0" w:afterAutospacing="0" w:line="640" w:lineRule="exact"/>
        <w:jc w:val="center"/>
        <w:rPr>
          <w:rFonts w:ascii="仿宋_GB2312" w:eastAsia="仿宋_GB2312" w:hint="eastAsia"/>
          <w:sz w:val="32"/>
          <w:szCs w:val="32"/>
        </w:rPr>
      </w:pPr>
      <w:r w:rsidRPr="00A073ED">
        <w:rPr>
          <w:rFonts w:ascii="仿宋_GB2312" w:eastAsia="仿宋_GB2312" w:hint="eastAsia"/>
          <w:sz w:val="32"/>
          <w:szCs w:val="32"/>
        </w:rPr>
        <w:t>（2025-04-15）</w:t>
      </w:r>
    </w:p>
    <w:p w:rsidR="00A073ED" w:rsidRPr="00A073ED" w:rsidRDefault="00A073ED" w:rsidP="000876BF">
      <w:pPr>
        <w:pStyle w:val="a5"/>
        <w:shd w:val="clear" w:color="auto" w:fill="FFFFFF"/>
        <w:spacing w:beforeAutospacing="0" w:afterAutospacing="0" w:line="640" w:lineRule="exact"/>
        <w:rPr>
          <w:rFonts w:ascii="仿宋_GB2312" w:eastAsia="仿宋_GB2312" w:hint="eastAsia"/>
          <w:sz w:val="32"/>
          <w:szCs w:val="32"/>
        </w:rPr>
      </w:pPr>
      <w:r w:rsidRPr="00A073ED">
        <w:rPr>
          <w:rFonts w:ascii="仿宋_GB2312" w:eastAsia="仿宋_GB2312" w:hint="eastAsia"/>
          <w:sz w:val="32"/>
          <w:szCs w:val="32"/>
        </w:rPr>
        <w:t xml:space="preserve">    近日，“2025数据中心冷却高峰论坛（长三角）”在上海成功举办，期间举行2024年度数据中心液冷优秀产品及案例颁证仪式。记者获悉，由贵安新区大数据科创城产业集群公司、广东合一新材料研究院有限公司（下称合一公司）报送的全国一体化算力网络国家（贵州）主枢纽中心项目获评优秀案例。</w:t>
      </w:r>
    </w:p>
    <w:p w:rsidR="00A073ED" w:rsidRPr="00A073ED" w:rsidRDefault="00A073ED" w:rsidP="000876BF">
      <w:pPr>
        <w:pStyle w:val="a5"/>
        <w:shd w:val="clear" w:color="auto" w:fill="FFFFFF"/>
        <w:spacing w:beforeAutospacing="0" w:afterAutospacing="0" w:line="640" w:lineRule="exact"/>
        <w:rPr>
          <w:rFonts w:ascii="仿宋_GB2312" w:eastAsia="仿宋_GB2312" w:hint="eastAsia"/>
          <w:sz w:val="32"/>
          <w:szCs w:val="32"/>
        </w:rPr>
      </w:pPr>
      <w:r w:rsidRPr="00A073ED">
        <w:rPr>
          <w:rFonts w:ascii="仿宋_GB2312" w:eastAsia="仿宋_GB2312" w:hint="eastAsia"/>
          <w:sz w:val="32"/>
          <w:szCs w:val="32"/>
        </w:rPr>
        <w:t xml:space="preserve">    本届论坛设置1个主论坛、3个分论坛，共有来自高校、科研院所、设计院、数据中心建设单位、运营商及设备企业的600余名代表线下参会，6200余名代表线上参会。</w:t>
      </w:r>
    </w:p>
    <w:p w:rsidR="00A073ED" w:rsidRDefault="00A073ED" w:rsidP="000876BF">
      <w:pPr>
        <w:pStyle w:val="a5"/>
        <w:shd w:val="clear" w:color="auto" w:fill="FFFFFF"/>
        <w:spacing w:beforeAutospacing="0" w:afterAutospacing="0" w:line="640" w:lineRule="exact"/>
        <w:rPr>
          <w:rFonts w:ascii="仿宋_GB2312" w:eastAsia="仿宋_GB2312" w:hint="eastAsia"/>
          <w:sz w:val="32"/>
          <w:szCs w:val="32"/>
        </w:rPr>
      </w:pPr>
      <w:r w:rsidRPr="00A073ED">
        <w:rPr>
          <w:rFonts w:ascii="仿宋_GB2312" w:eastAsia="仿宋_GB2312" w:hint="eastAsia"/>
          <w:sz w:val="32"/>
          <w:szCs w:val="32"/>
        </w:rPr>
        <w:t xml:space="preserve">    2024年度数据中心液冷优秀案例共有8个项目入选。其中，全国一体化算力网络国家（贵州）主枢纽中心项目采用精准喷淋液冷技术，绝缘冷却液直接喷淋于发热电子器件，液体与器件直接接触，与电子设备完全兼容，利用液体比热容与密度大的优势提高散热效率。项目在保证服务器安全运行和计算准确的前提下，提高服务器的有效算力，降低数据中心能耗和投资，有效解决了算力行业发展的痛点和难点，实现了技术创新、模式创新、管理创新、机制创新，具有良好的经济效益和社会效益。</w:t>
      </w:r>
    </w:p>
    <w:p w:rsidR="00A073ED" w:rsidRPr="00A073ED" w:rsidRDefault="00A073ED" w:rsidP="000876BF">
      <w:pPr>
        <w:pStyle w:val="a5"/>
        <w:shd w:val="clear" w:color="auto" w:fill="FFFFFF"/>
        <w:spacing w:beforeAutospacing="0" w:afterAutospacing="0" w:line="640" w:lineRule="exact"/>
        <w:rPr>
          <w:rFonts w:ascii="仿宋_GB2312" w:eastAsia="仿宋_GB2312"/>
          <w:sz w:val="32"/>
          <w:szCs w:val="32"/>
        </w:rPr>
      </w:pPr>
      <w:r>
        <w:rPr>
          <w:rFonts w:ascii="仿宋_GB2312" w:eastAsia="仿宋_GB2312" w:hint="eastAsia"/>
          <w:sz w:val="32"/>
          <w:szCs w:val="32"/>
        </w:rPr>
        <w:t xml:space="preserve">                                    </w:t>
      </w:r>
      <w:r w:rsidRPr="00A073ED">
        <w:rPr>
          <w:rFonts w:ascii="仿宋_GB2312" w:eastAsia="仿宋_GB2312" w:hint="eastAsia"/>
          <w:sz w:val="32"/>
          <w:szCs w:val="32"/>
        </w:rPr>
        <w:t>（来源：贵阳日报）</w:t>
      </w:r>
    </w:p>
    <w:p w:rsidR="00A073ED" w:rsidRDefault="00A073ED" w:rsidP="00A073ED">
      <w:pPr>
        <w:pStyle w:val="a5"/>
        <w:shd w:val="clear" w:color="auto" w:fill="FFFFFF"/>
        <w:spacing w:beforeAutospacing="0" w:afterAutospacing="0" w:line="720" w:lineRule="exact"/>
        <w:jc w:val="center"/>
        <w:rPr>
          <w:rFonts w:ascii="方正小标宋简体" w:eastAsia="方正小标宋简体" w:hint="eastAsia"/>
          <w:sz w:val="44"/>
          <w:szCs w:val="44"/>
        </w:rPr>
      </w:pPr>
      <w:bookmarkStart w:id="4" w:name="OLE_LINK15"/>
      <w:bookmarkStart w:id="5" w:name="OLE_LINK16"/>
      <w:r w:rsidRPr="00A073ED">
        <w:rPr>
          <w:rFonts w:ascii="方正小标宋简体" w:eastAsia="方正小标宋简体" w:hint="eastAsia"/>
          <w:sz w:val="44"/>
          <w:szCs w:val="44"/>
        </w:rPr>
        <w:t>贵州大数据集团获批国务院国资委2025年度</w:t>
      </w:r>
    </w:p>
    <w:p w:rsidR="00A073ED" w:rsidRPr="00A073ED" w:rsidRDefault="00A073ED" w:rsidP="00A073ED">
      <w:pPr>
        <w:pStyle w:val="a5"/>
        <w:shd w:val="clear" w:color="auto" w:fill="FFFFFF"/>
        <w:spacing w:beforeAutospacing="0" w:afterAutospacing="0" w:line="720" w:lineRule="exact"/>
        <w:jc w:val="center"/>
        <w:rPr>
          <w:rFonts w:ascii="方正小标宋简体" w:eastAsia="方正小标宋简体" w:hint="eastAsia"/>
          <w:sz w:val="44"/>
          <w:szCs w:val="44"/>
        </w:rPr>
      </w:pPr>
      <w:r w:rsidRPr="00A073ED">
        <w:rPr>
          <w:rFonts w:ascii="方正小标宋简体" w:eastAsia="方正小标宋简体" w:hint="eastAsia"/>
          <w:sz w:val="44"/>
          <w:szCs w:val="44"/>
        </w:rPr>
        <w:t>“揭榜挂帅”研究课题</w:t>
      </w:r>
      <w:bookmarkEnd w:id="4"/>
      <w:bookmarkEnd w:id="5"/>
    </w:p>
    <w:p w:rsidR="00A073ED" w:rsidRPr="00A073ED" w:rsidRDefault="00A073ED" w:rsidP="000876BF">
      <w:pPr>
        <w:pStyle w:val="a5"/>
        <w:shd w:val="clear" w:color="auto" w:fill="FFFFFF"/>
        <w:spacing w:beforeAutospacing="0" w:afterAutospacing="0" w:line="600" w:lineRule="exact"/>
        <w:jc w:val="center"/>
        <w:rPr>
          <w:rFonts w:ascii="仿宋_GB2312" w:eastAsia="仿宋_GB2312" w:hint="eastAsia"/>
          <w:sz w:val="32"/>
          <w:szCs w:val="32"/>
        </w:rPr>
      </w:pPr>
      <w:r w:rsidRPr="00A073ED">
        <w:rPr>
          <w:rFonts w:ascii="仿宋_GB2312" w:eastAsia="仿宋_GB2312" w:hint="eastAsia"/>
          <w:sz w:val="32"/>
          <w:szCs w:val="32"/>
        </w:rPr>
        <w:t>（2025-04-15）</w:t>
      </w:r>
    </w:p>
    <w:p w:rsidR="00A073ED" w:rsidRP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国务院国资委2025年度“揭榜挂帅”研究课题启动会近日召开，会议公布了2025年度“揭榜挂帅”研究课题清单和2024年度课题评议结果。贵州大数据集团参与申报的《国有企业数字化基础设施集约共享发展路径研究》课题成功入选，这是贵州省国资监管企业首次承担国务院国资委“揭榜挂帅”课题。</w:t>
      </w:r>
    </w:p>
    <w:p w:rsidR="00A073ED" w:rsidRP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国有企业数字化基础设施集约共享发展路径研究》课题将立足国家战略需求，以集约共享破解国企数字化转型痛点，力争形成一套覆盖规划、技术、管理、政策的全链条解决方案，推动形成“全国一盘棋”的数字化基础设施布局，为国资国企高质量发展注入新动能。</w:t>
      </w:r>
    </w:p>
    <w:p w:rsidR="00A073ED" w:rsidRP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贵州大数据集团是贵州省关键数字系统和共性支撑平台、公共服务平台建设运营主体，多年来持续深耕数字政府、云服务及平台系统建设运维、数据共享交换、数据治理和开发利用、网络和数据安全等领域，曾参与多项国家和省级科技攻关任务，参与制定相关领域国家标准16项，在关键数字系统和共性支撑平台方面积淀了较为成熟的解决方案和专业技术团队，为数字化基础设施集约共享打下坚实基础。</w:t>
      </w:r>
    </w:p>
    <w:p w:rsid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贵州大数据集团将以本次课题为契机，在国务院国资委、省国资委指导下，充分发挥资源禀赋和行业技术积累，联合相关单位开展深入研究，力争形成一套“投建运管”的全链条解决方案，为中央企业数字化基础设施集约共享建设提供“贵州解决方案”。</w:t>
      </w:r>
    </w:p>
    <w:p w:rsidR="00A073ED" w:rsidRP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073ED">
        <w:rPr>
          <w:rFonts w:ascii="仿宋_GB2312" w:eastAsia="仿宋_GB2312" w:hint="eastAsia"/>
          <w:sz w:val="32"/>
          <w:szCs w:val="32"/>
        </w:rPr>
        <w:t>（来源：贵州日报报刊社）</w:t>
      </w:r>
    </w:p>
    <w:p w:rsid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p>
    <w:p w:rsidR="007F2676" w:rsidRDefault="007F2676" w:rsidP="007F2676">
      <w:pPr>
        <w:pStyle w:val="a5"/>
        <w:shd w:val="clear" w:color="auto" w:fill="FFFFFF"/>
        <w:spacing w:beforeAutospacing="0" w:afterAutospacing="0" w:line="720" w:lineRule="exact"/>
        <w:jc w:val="center"/>
        <w:rPr>
          <w:rFonts w:ascii="方正小标宋简体" w:eastAsia="方正小标宋简体" w:hint="eastAsia"/>
          <w:sz w:val="44"/>
          <w:szCs w:val="44"/>
        </w:rPr>
      </w:pPr>
      <w:bookmarkStart w:id="6" w:name="OLE_LINK13"/>
      <w:bookmarkStart w:id="7" w:name="OLE_LINK14"/>
      <w:r w:rsidRPr="007F2676">
        <w:rPr>
          <w:rFonts w:ascii="方正小标宋简体" w:eastAsia="方正小标宋简体" w:hint="eastAsia"/>
          <w:sz w:val="44"/>
          <w:szCs w:val="44"/>
        </w:rPr>
        <w:t>九部门：推动学科专业数字化升级</w:t>
      </w:r>
    </w:p>
    <w:p w:rsidR="007F2676" w:rsidRPr="007F2676" w:rsidRDefault="007F2676" w:rsidP="007F2676">
      <w:pPr>
        <w:pStyle w:val="a5"/>
        <w:shd w:val="clear" w:color="auto" w:fill="FFFFFF"/>
        <w:spacing w:beforeAutospacing="0" w:afterAutospacing="0" w:line="720" w:lineRule="exact"/>
        <w:jc w:val="center"/>
        <w:rPr>
          <w:rFonts w:ascii="方正小标宋简体" w:eastAsia="方正小标宋简体" w:hint="eastAsia"/>
          <w:sz w:val="44"/>
          <w:szCs w:val="44"/>
        </w:rPr>
      </w:pPr>
      <w:r w:rsidRPr="007F2676">
        <w:rPr>
          <w:rFonts w:ascii="方正小标宋简体" w:eastAsia="方正小标宋简体" w:hint="eastAsia"/>
          <w:sz w:val="44"/>
          <w:szCs w:val="44"/>
        </w:rPr>
        <w:t>和科研范式变革</w:t>
      </w:r>
      <w:bookmarkEnd w:id="6"/>
      <w:bookmarkEnd w:id="7"/>
    </w:p>
    <w:p w:rsidR="007F2676" w:rsidRPr="00A073ED" w:rsidRDefault="007F2676" w:rsidP="000876BF">
      <w:pPr>
        <w:pStyle w:val="a5"/>
        <w:shd w:val="clear" w:color="auto" w:fill="FFFFFF"/>
        <w:spacing w:beforeAutospacing="0" w:afterAutospacing="0" w:line="600" w:lineRule="exact"/>
        <w:jc w:val="center"/>
        <w:rPr>
          <w:rFonts w:ascii="仿宋_GB2312" w:eastAsia="仿宋_GB2312" w:hint="eastAsia"/>
          <w:sz w:val="32"/>
          <w:szCs w:val="32"/>
        </w:rPr>
      </w:pPr>
      <w:r w:rsidRPr="00A073ED">
        <w:rPr>
          <w:rFonts w:ascii="仿宋_GB2312" w:eastAsia="仿宋_GB2312" w:hint="eastAsia"/>
          <w:sz w:val="32"/>
          <w:szCs w:val="32"/>
        </w:rPr>
        <w:t>（2025-04-16）</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新华社北京4月16日电  记者16日从教育部获悉，为开辟教育发展新赛道和塑造发展新优势，全面支撑教育强国建设，教育部等九部门发布关于加快推进教育数字化的意见，提出全面推进智能化，促进人工智能助力教育变革，推动学科专业数字化升级和科研范式变革。</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教育部科学技术与信息化司司长周大旺表示，教育数字化是当代发展的必然趋势</w:t>
      </w:r>
      <w:r>
        <w:rPr>
          <w:rFonts w:ascii="仿宋_GB2312" w:eastAsia="仿宋_GB2312" w:hint="eastAsia"/>
          <w:sz w:val="32"/>
          <w:szCs w:val="32"/>
        </w:rPr>
        <w:t>，</w:t>
      </w:r>
      <w:r w:rsidRPr="00A073ED">
        <w:rPr>
          <w:rFonts w:ascii="仿宋_GB2312" w:eastAsia="仿宋_GB2312" w:hint="eastAsia"/>
          <w:sz w:val="32"/>
          <w:szCs w:val="32"/>
        </w:rPr>
        <w:t>它不仅是教育领域的一场技术革命</w:t>
      </w:r>
      <w:r>
        <w:rPr>
          <w:rFonts w:ascii="仿宋_GB2312" w:eastAsia="仿宋_GB2312" w:hint="eastAsia"/>
          <w:sz w:val="32"/>
          <w:szCs w:val="32"/>
        </w:rPr>
        <w:t>，</w:t>
      </w:r>
      <w:r w:rsidRPr="00A073ED">
        <w:rPr>
          <w:rFonts w:ascii="仿宋_GB2312" w:eastAsia="仿宋_GB2312" w:hint="eastAsia"/>
          <w:sz w:val="32"/>
          <w:szCs w:val="32"/>
        </w:rPr>
        <w:t>更是教育理念、教学模式、教育治理等方面的深刻变革。随着信息技术的飞速发展</w:t>
      </w:r>
      <w:r>
        <w:rPr>
          <w:rFonts w:ascii="仿宋_GB2312" w:eastAsia="仿宋_GB2312" w:hint="eastAsia"/>
          <w:sz w:val="32"/>
          <w:szCs w:val="32"/>
        </w:rPr>
        <w:t>,</w:t>
      </w:r>
      <w:r w:rsidRPr="00A073ED">
        <w:rPr>
          <w:rFonts w:ascii="仿宋_GB2312" w:eastAsia="仿宋_GB2312" w:hint="eastAsia"/>
          <w:sz w:val="32"/>
          <w:szCs w:val="32"/>
        </w:rPr>
        <w:t>数字化为教育带来了前所未有的机遇，让优质教育资源能够更加公平惠及每一个学习者，为个性化学习、精准教学提供了可能</w:t>
      </w:r>
      <w:r>
        <w:rPr>
          <w:rFonts w:ascii="仿宋_GB2312" w:eastAsia="仿宋_GB2312" w:hint="eastAsia"/>
          <w:sz w:val="32"/>
          <w:szCs w:val="32"/>
        </w:rPr>
        <w:t>，</w:t>
      </w:r>
      <w:r w:rsidRPr="00A073ED">
        <w:rPr>
          <w:rFonts w:ascii="仿宋_GB2312" w:eastAsia="仿宋_GB2312" w:hint="eastAsia"/>
          <w:sz w:val="32"/>
          <w:szCs w:val="32"/>
        </w:rPr>
        <w:t>也为办好人民满意的教育奠定了基础。</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意见明确，面向数字经济和未来产业发展，优化高等教育学科专业设置，超前布局数字领域学科专业，一体化推进人才培养、科技创新、技术研发和成果转化。面向先进制造业和现代服务业数字转型需要，动态调整职业教育专业，赋能产教深度融合。以人工智能技术推动科研范式变革，提高科研组织效率，提高成果转化效率，衍生学科增长点，助力建设一批新兴学科、交叉学科。</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在推动课程、教材、教学数字化变革方面，意见提出，要完善知识图谱，构建能力图谱，深化教育大模型应用，推动课程体系、教材体系、教学体系智能化升级，将人工智能技术融入教育教学全要素全过程，推动科技教育和人文教育融合。</w:t>
      </w:r>
    </w:p>
    <w:p w:rsidR="007F2676"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意见要求，推动各省（区、市）制定整体推进区域教育公平优质发展数字化解决方案，实现省内平台、资源、服务与国家平台互联互通。深入实施“同上一堂好课”、慕课西部行2.0计划、读书行动等，倾斜支持农村地区、民族地区、脱贫地区。</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073ED">
        <w:rPr>
          <w:rFonts w:ascii="仿宋_GB2312" w:eastAsia="仿宋_GB2312" w:hint="eastAsia"/>
          <w:sz w:val="32"/>
          <w:szCs w:val="32"/>
        </w:rPr>
        <w:t>（来源：新华网）</w:t>
      </w:r>
    </w:p>
    <w:p w:rsidR="007F2676" w:rsidRDefault="007F2676" w:rsidP="000876BF">
      <w:pPr>
        <w:pStyle w:val="a5"/>
        <w:shd w:val="clear" w:color="auto" w:fill="FFFFFF"/>
        <w:spacing w:beforeAutospacing="0" w:afterAutospacing="0" w:line="600" w:lineRule="exact"/>
        <w:rPr>
          <w:rFonts w:ascii="仿宋_GB2312" w:eastAsia="仿宋_GB2312" w:hint="eastAsia"/>
          <w:sz w:val="32"/>
          <w:szCs w:val="32"/>
        </w:rPr>
      </w:pPr>
    </w:p>
    <w:p w:rsidR="007F2676" w:rsidRPr="007F2676" w:rsidRDefault="007F2676" w:rsidP="000876BF">
      <w:pPr>
        <w:pStyle w:val="a5"/>
        <w:shd w:val="clear" w:color="auto" w:fill="FFFFFF"/>
        <w:spacing w:beforeAutospacing="0" w:afterAutospacing="0" w:line="600" w:lineRule="exact"/>
        <w:jc w:val="center"/>
        <w:rPr>
          <w:rFonts w:ascii="方正小标宋简体" w:eastAsia="方正小标宋简体" w:hint="eastAsia"/>
          <w:sz w:val="42"/>
          <w:szCs w:val="42"/>
        </w:rPr>
      </w:pPr>
      <w:bookmarkStart w:id="8" w:name="OLE_LINK11"/>
      <w:bookmarkStart w:id="9" w:name="OLE_LINK12"/>
      <w:r w:rsidRPr="007F2676">
        <w:rPr>
          <w:rFonts w:ascii="方正小标宋简体" w:eastAsia="方正小标宋简体" w:hint="eastAsia"/>
          <w:sz w:val="42"/>
          <w:szCs w:val="42"/>
        </w:rPr>
        <w:t>广东推进“机器人+”与“人工智能+”应用场景</w:t>
      </w:r>
      <w:bookmarkEnd w:id="8"/>
      <w:bookmarkEnd w:id="9"/>
    </w:p>
    <w:p w:rsidR="007F2676" w:rsidRPr="00A073ED" w:rsidRDefault="007F2676" w:rsidP="000876BF">
      <w:pPr>
        <w:pStyle w:val="a5"/>
        <w:shd w:val="clear" w:color="auto" w:fill="FFFFFF"/>
        <w:spacing w:beforeAutospacing="0" w:afterAutospacing="0" w:line="600" w:lineRule="exact"/>
        <w:jc w:val="center"/>
        <w:rPr>
          <w:rFonts w:ascii="仿宋_GB2312" w:eastAsia="仿宋_GB2312" w:hint="eastAsia"/>
          <w:sz w:val="32"/>
          <w:szCs w:val="32"/>
        </w:rPr>
      </w:pPr>
      <w:r w:rsidRPr="00A073ED">
        <w:rPr>
          <w:rFonts w:ascii="仿宋_GB2312" w:eastAsia="仿宋_GB2312" w:hint="eastAsia"/>
          <w:sz w:val="32"/>
          <w:szCs w:val="32"/>
        </w:rPr>
        <w:t>（2025-04-16）</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记者4月14日获悉，广东省新闻办日前举行了《广东省推动人工智能与机器人产业创新发展若干政策措施》新闻发布会。广东省工业和信息化厅厅长曾进泽在发布会上透露，广东将建立省级跨部门协调机制，推进“机器人+”和“人工智能+”应用场景工作，征集发布典型应用场景。</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广东将多方位深入拓展机器人应用场景，比如在工业领域，以汽车、电子信息、机械装备产业为重点，推进工业机器人的应用。“特别是要鼓励制造业企业开放非标场景和复杂工艺场景，鼓励他们与机器人企业联合攻关，高水平推动制造业智能化转型。”曾进泽说。</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在民生服务方面，广东将以医疗健康、养老服务、教育、城市管理服务等领域为重点，打造智能机器人丰富应用场景，满足人民群众生命健康、陪伴护理、家庭服务、商业及社区服务等需求。</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“我们将尽快遴选‘机器人+’应用标杆企业，征集和发布典型应用场景，形成一批可复制、可推广的先进经验和典型做法，推动机器人普及应用，提高企业生产服务效能和人民生活品质。”曾进泽说。</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在拓展“人工智能+”应用场景方面，广东将分批印发《广东省人工智能应用场景清单》，详细阐释重点领域构建示范应用的具体实施路径与关键要点，高效打造贴合实际需求的应用场景。同时，加大对标杆应用的扶持力度，每年遴选10个人工智能赋能新型工业化标杆案例，对每个入选案例给予最高800万元的奖励。</w:t>
      </w:r>
    </w:p>
    <w:p w:rsidR="007F2676"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此外，广东正在制定《广东省“人工智能+”行动方案》，聚焦教育、医疗、交通、民政、金融、安全等重点领域，计划培育100个示范应用场景与500个示范案例，形成比较成熟且可大规模推广的应用标准。</w:t>
      </w:r>
    </w:p>
    <w:p w:rsid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073ED">
        <w:rPr>
          <w:rFonts w:ascii="仿宋_GB2312" w:eastAsia="仿宋_GB2312" w:hint="eastAsia"/>
          <w:sz w:val="32"/>
          <w:szCs w:val="32"/>
        </w:rPr>
        <w:t>（来源：科技日报）</w:t>
      </w:r>
    </w:p>
    <w:p w:rsid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p>
    <w:p w:rsidR="007F2676" w:rsidRPr="007F2676" w:rsidRDefault="007F2676" w:rsidP="000876BF">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10" w:name="OLE_LINK9"/>
      <w:bookmarkStart w:id="11" w:name="OLE_LINK10"/>
      <w:r w:rsidRPr="007F2676">
        <w:rPr>
          <w:rFonts w:ascii="方正小标宋简体" w:eastAsia="方正小标宋简体" w:hint="eastAsia"/>
          <w:sz w:val="44"/>
          <w:szCs w:val="44"/>
        </w:rPr>
        <w:t>湖南“智赋万企”行动将实现三个“全覆盖”</w:t>
      </w:r>
      <w:bookmarkEnd w:id="10"/>
      <w:bookmarkEnd w:id="11"/>
    </w:p>
    <w:p w:rsidR="007F2676" w:rsidRPr="00A073ED" w:rsidRDefault="007F2676" w:rsidP="000876BF">
      <w:pPr>
        <w:pStyle w:val="a5"/>
        <w:shd w:val="clear" w:color="auto" w:fill="FFFFFF"/>
        <w:spacing w:beforeAutospacing="0" w:afterAutospacing="0" w:line="600" w:lineRule="exact"/>
        <w:jc w:val="center"/>
        <w:rPr>
          <w:rFonts w:ascii="仿宋_GB2312" w:eastAsia="仿宋_GB2312" w:hint="eastAsia"/>
          <w:sz w:val="32"/>
          <w:szCs w:val="32"/>
        </w:rPr>
      </w:pPr>
      <w:r w:rsidRPr="00A073ED">
        <w:rPr>
          <w:rFonts w:ascii="仿宋_GB2312" w:eastAsia="仿宋_GB2312" w:hint="eastAsia"/>
          <w:sz w:val="32"/>
          <w:szCs w:val="32"/>
        </w:rPr>
        <w:t>（2025-04-17）</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日前，湖南省“智赋万企”行动推进大会在长沙召开。记者在会上获悉，预计今年该省智能制造企业将突破3000家、上云上平台企业总数将超过90万家。到2027年，“智赋万企”行动将实现规模以上工业企业全覆盖、行业领域全覆盖、产业园区全覆盖，湖南省数字经济规模进入全国前10位。</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2023年以来，湖南持续推动数智赋能，全省总算力超10000PF，其中智能算力增长227%，超算算力居全国第3位。截至目前，湖南组织实施了100个“数字新基建”标志性项目，建成17.6万个5G基站，互联网省际出口带宽达77T，培育了三一18号工厂、博世长沙工厂和三一重能叶片工厂等3个全球“灯塔工厂”，以及2个国家级“双跨”平台。湖南省现有工业互联网连接工业设备1500万台（套），建成智能制造企业2260家、生产线3743条、工位2.58万个。在云服务、大数据服务、工业互联网平台服务方面收入增长11.9%，绿色智能计算产业产值突破8500亿元、增长19.2%。</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湖南省委副书记、省长毛伟明表示，湖南省将常态化、长效化开展“智赋万企”行动，更积极主动抢抓数字时代红利、抢占数智发展先机。该行动目标是推动企业降本增效，打造端到端的数智化供应链条和赋能体系，加快产业转型升级的“智改数转”步伐，加快推动数字经济规模突破2万亿元。</w:t>
      </w:r>
    </w:p>
    <w:p w:rsidR="007F2676" w:rsidRDefault="007F2676"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为实现这些目标，湖南将重点抓实“五个关键”。一是聚焦关键基础夯实底座，打造“东数西算”区域节点，建设工业互联网、人工智能等国家级平台，统筹布局全光传输网络和5G独立组网，推动重点产业园区万兆光网有序覆盖，加速构建完善的新型数字基础设施体系。二是聚焦关键企业分类施策，鼓励龙头企业建设行业数字化智能化共性平台，引导规模以上工业企业加速数字化改造实现整体转型，鼓励中小企业“上云用数赋智”，支持“链主”企业通过订单牵引、技术扩散等带动“链上”中小企业转型升级。三是聚焦关键环节精准赋能，推动新一代信息技术在企业生产经营全流程应用。四是聚焦关键要素强化支撑，加快突破和就地转化一批原创性、引领性技术，打通从数据归集、加工、交易到应用的产业生态闭环，加大数智领域专家、人才、团队引进培育力度。五是聚焦关键引领激发动力，加快建设一批智慧园区、标杆企业、“灯塔工厂”，选树一批典型应用场景，实施一批行业经典项目。</w:t>
      </w:r>
    </w:p>
    <w:p w:rsidR="007F2676" w:rsidRPr="00A073ED" w:rsidRDefault="007F2676" w:rsidP="000876B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073ED">
        <w:rPr>
          <w:rFonts w:ascii="仿宋_GB2312" w:eastAsia="仿宋_GB2312" w:hint="eastAsia"/>
          <w:sz w:val="32"/>
          <w:szCs w:val="32"/>
        </w:rPr>
        <w:t>（来源：科技日报）</w:t>
      </w:r>
    </w:p>
    <w:p w:rsid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p>
    <w:p w:rsidR="009B30F9" w:rsidRPr="009B30F9" w:rsidRDefault="009B30F9" w:rsidP="000876BF">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12" w:name="OLE_LINK7"/>
      <w:bookmarkStart w:id="13" w:name="OLE_LINK8"/>
      <w:r w:rsidRPr="009B30F9">
        <w:rPr>
          <w:rFonts w:ascii="方正小标宋简体" w:eastAsia="方正小标宋简体" w:hint="eastAsia"/>
          <w:sz w:val="44"/>
          <w:szCs w:val="44"/>
        </w:rPr>
        <w:t>国家超算互联网平台上线超长文本模型</w:t>
      </w:r>
      <w:bookmarkEnd w:id="12"/>
      <w:bookmarkEnd w:id="13"/>
    </w:p>
    <w:p w:rsidR="009B30F9" w:rsidRPr="00A073ED" w:rsidRDefault="009B30F9" w:rsidP="000876BF">
      <w:pPr>
        <w:pStyle w:val="a5"/>
        <w:shd w:val="clear" w:color="auto" w:fill="FFFFFF"/>
        <w:spacing w:beforeAutospacing="0" w:afterAutospacing="0" w:line="600" w:lineRule="exact"/>
        <w:jc w:val="center"/>
        <w:rPr>
          <w:rFonts w:ascii="仿宋_GB2312" w:eastAsia="仿宋_GB2312" w:hint="eastAsia"/>
          <w:sz w:val="32"/>
          <w:szCs w:val="32"/>
        </w:rPr>
      </w:pPr>
      <w:r w:rsidRPr="00A073ED">
        <w:rPr>
          <w:rFonts w:ascii="仿宋_GB2312" w:eastAsia="仿宋_GB2312" w:hint="eastAsia"/>
          <w:sz w:val="32"/>
          <w:szCs w:val="32"/>
        </w:rPr>
        <w:t>（2025-04-16）</w:t>
      </w:r>
    </w:p>
    <w:p w:rsidR="009B30F9"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近日，国家超算互联网平台新上线超长文本模型MiniMax-</w:t>
      </w:r>
    </w:p>
    <w:p w:rsidR="009B30F9" w:rsidRPr="00A073ED"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Text-01。迄今，共计3家国产模型厂商的5款模型在国家超算互联网平台提供服务。</w:t>
      </w:r>
    </w:p>
    <w:p w:rsidR="009B30F9" w:rsidRPr="00A073ED"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记者登录国家超算互联网平台发现，由这5款国产AI大模型提供服务的ChatBot对话服务同步接入，用户可体验智能、流畅的AI对话。此次最新接入的超长文本模型MiniMax-Text-01，上下文窗口可达400万token，相当于在几秒内快速读完四大名著加哈利波特全集。</w:t>
      </w:r>
    </w:p>
    <w:p w:rsidR="009B30F9" w:rsidRPr="00A073ED"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作为国家级算力服务平台，国家超算互联网平台通过链接我国算力产业上下游及供需双方资源，集算力、应用、数据、生态、社区等于一体，让创新链和产业链无缝对接。</w:t>
      </w:r>
    </w:p>
    <w:p w:rsidR="009B30F9" w:rsidRPr="00A073ED"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自2024年4月正式上线以来，国家超算互联网平台注册用户规模与入驻服务商数量均实现快速增长。目前，平台总用户量已突破35万，连接全国14个省区市20多家超算和智算中心，并聚集超500家服务商以及7000款算力商品与大模型，可满足科学计算、工业仿真、人工智能等上百个细分行业、上千个场景的算力应用需求。</w:t>
      </w:r>
    </w:p>
    <w:p w:rsidR="009B30F9"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2025年2月，国家超算互联网平台启动“AI生态伙伴加速计划”，通过技术赋能、资源扶持、市场协同，实现创新链与产业链的无缝对接。</w:t>
      </w:r>
    </w:p>
    <w:p w:rsidR="009B30F9" w:rsidRPr="00A073ED" w:rsidRDefault="009B30F9" w:rsidP="000876B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073ED">
        <w:rPr>
          <w:rFonts w:ascii="仿宋_GB2312" w:eastAsia="仿宋_GB2312" w:hint="eastAsia"/>
          <w:sz w:val="32"/>
          <w:szCs w:val="32"/>
        </w:rPr>
        <w:t>（来源：新华网）</w:t>
      </w:r>
    </w:p>
    <w:p w:rsidR="009B30F9" w:rsidRPr="00A073ED" w:rsidRDefault="009B30F9" w:rsidP="000876BF">
      <w:pPr>
        <w:pStyle w:val="a5"/>
        <w:shd w:val="clear" w:color="auto" w:fill="FFFFFF"/>
        <w:spacing w:beforeAutospacing="0" w:afterAutospacing="0" w:line="600" w:lineRule="exact"/>
        <w:rPr>
          <w:rFonts w:ascii="仿宋_GB2312" w:eastAsia="仿宋_GB2312"/>
          <w:sz w:val="32"/>
          <w:szCs w:val="32"/>
        </w:rPr>
      </w:pPr>
    </w:p>
    <w:p w:rsidR="009B30F9" w:rsidRPr="009B30F9" w:rsidRDefault="009B30F9" w:rsidP="000876BF">
      <w:pPr>
        <w:pStyle w:val="a5"/>
        <w:shd w:val="clear" w:color="auto" w:fill="FFFFFF"/>
        <w:spacing w:beforeAutospacing="0" w:afterAutospacing="0" w:line="600" w:lineRule="exact"/>
        <w:jc w:val="center"/>
        <w:rPr>
          <w:rFonts w:ascii="方正小标宋简体" w:eastAsia="方正小标宋简体" w:hint="eastAsia"/>
          <w:sz w:val="44"/>
          <w:szCs w:val="44"/>
        </w:rPr>
      </w:pPr>
      <w:bookmarkStart w:id="14" w:name="OLE_LINK5"/>
      <w:bookmarkStart w:id="15" w:name="OLE_LINK6"/>
      <w:r w:rsidRPr="009B30F9">
        <w:rPr>
          <w:rFonts w:ascii="方正小标宋简体" w:eastAsia="方正小标宋简体" w:hint="eastAsia"/>
          <w:sz w:val="44"/>
          <w:szCs w:val="44"/>
        </w:rPr>
        <w:t>智慧交通标准化试点项目推出</w:t>
      </w:r>
      <w:bookmarkEnd w:id="14"/>
      <w:bookmarkEnd w:id="15"/>
    </w:p>
    <w:p w:rsidR="009B30F9" w:rsidRPr="00A073ED" w:rsidRDefault="009B30F9" w:rsidP="000876BF">
      <w:pPr>
        <w:pStyle w:val="a5"/>
        <w:shd w:val="clear" w:color="auto" w:fill="FFFFFF"/>
        <w:spacing w:beforeAutospacing="0" w:afterAutospacing="0" w:line="600" w:lineRule="exact"/>
        <w:jc w:val="center"/>
        <w:rPr>
          <w:rFonts w:ascii="仿宋_GB2312" w:eastAsia="仿宋_GB2312" w:hint="eastAsia"/>
          <w:sz w:val="32"/>
          <w:szCs w:val="32"/>
        </w:rPr>
      </w:pPr>
      <w:r w:rsidRPr="00A073ED">
        <w:rPr>
          <w:rFonts w:ascii="仿宋_GB2312" w:eastAsia="仿宋_GB2312" w:hint="eastAsia"/>
          <w:sz w:val="32"/>
          <w:szCs w:val="32"/>
        </w:rPr>
        <w:t>（2025-04-14）</w:t>
      </w:r>
    </w:p>
    <w:p w:rsidR="009B30F9" w:rsidRPr="00A073ED"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近日，交通运输部联合国家市场监督管理总局公布首批国家级服务业标准化试点（智慧交通专项）项目名单，共25个试点项目入选。试点项目聚焦智慧物流、智慧出行及相关新型基础设施三大方向，以建立健全智慧交通标准体系、持续推动成套标准验证与先进标准研制、提升标准化基础能力、强化标准实施应用等为目标。</w:t>
      </w:r>
    </w:p>
    <w:p w:rsidR="009B30F9" w:rsidRPr="00A073ED"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在智慧物流方向，重点围绕以标准助力技术创新，推动交通物流降本提质增效，设立邮政快递数字化处理中心、货物自动配送、智能航运、内河枢纽智慧通航、港口无人集卡、电动船舶、国际海运区块链电子提单服务等试点项目。</w:t>
      </w:r>
    </w:p>
    <w:p w:rsidR="009B30F9" w:rsidRPr="00A073ED"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在智慧出行方向，重点关注以标准助力模式创新，保障交通出行服务高效便捷，设立公路水路一体化出行、综合客运枢纽数智治理、高速公路和普通国省干线公路智慧出行、城市轨道交通和公交智慧出行等试点项目。</w:t>
      </w:r>
    </w:p>
    <w:p w:rsidR="009B30F9" w:rsidRDefault="009B30F9"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在新型基础设施方向，着力加快构建交通运输新基建标准体系，引导基础设施数字化转型升级，设立智慧公路、智慧城轨、桥隧智能运维与灾害防控、低空飞行服务保障等试点项目。</w:t>
      </w:r>
    </w:p>
    <w:p w:rsidR="009B30F9" w:rsidRPr="00A073ED" w:rsidRDefault="009B30F9" w:rsidP="000876B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073ED">
        <w:rPr>
          <w:rFonts w:ascii="仿宋_GB2312" w:eastAsia="仿宋_GB2312" w:hint="eastAsia"/>
          <w:sz w:val="32"/>
          <w:szCs w:val="32"/>
        </w:rPr>
        <w:t>（来源：人民日报）</w:t>
      </w:r>
    </w:p>
    <w:p w:rsid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p>
    <w:p w:rsidR="000876BF" w:rsidRDefault="000876BF" w:rsidP="000876BF">
      <w:pPr>
        <w:pStyle w:val="a5"/>
        <w:shd w:val="clear" w:color="auto" w:fill="FFFFFF"/>
        <w:spacing w:beforeAutospacing="0" w:afterAutospacing="0" w:line="720" w:lineRule="exact"/>
        <w:jc w:val="center"/>
        <w:rPr>
          <w:rFonts w:ascii="方正小标宋简体" w:eastAsia="方正小标宋简体" w:hint="eastAsia"/>
          <w:sz w:val="44"/>
          <w:szCs w:val="44"/>
        </w:rPr>
      </w:pPr>
      <w:r w:rsidRPr="000876BF">
        <w:rPr>
          <w:rFonts w:ascii="方正小标宋简体" w:eastAsia="方正小标宋简体" w:hint="eastAsia"/>
          <w:sz w:val="44"/>
          <w:szCs w:val="44"/>
        </w:rPr>
        <w:t>国际能源署称：到2030年AI数据中心</w:t>
      </w:r>
    </w:p>
    <w:p w:rsidR="000876BF" w:rsidRPr="000876BF" w:rsidRDefault="000876BF" w:rsidP="000876BF">
      <w:pPr>
        <w:pStyle w:val="a5"/>
        <w:shd w:val="clear" w:color="auto" w:fill="FFFFFF"/>
        <w:spacing w:beforeAutospacing="0" w:afterAutospacing="0" w:line="720" w:lineRule="exact"/>
        <w:jc w:val="center"/>
        <w:rPr>
          <w:rFonts w:ascii="方正小标宋简体" w:eastAsia="方正小标宋简体" w:hint="eastAsia"/>
          <w:sz w:val="44"/>
          <w:szCs w:val="44"/>
        </w:rPr>
      </w:pPr>
      <w:r w:rsidRPr="000876BF">
        <w:rPr>
          <w:rFonts w:ascii="方正小标宋简体" w:eastAsia="方正小标宋简体" w:hint="eastAsia"/>
          <w:sz w:val="44"/>
          <w:szCs w:val="44"/>
        </w:rPr>
        <w:t>电力需求将翻番</w:t>
      </w:r>
    </w:p>
    <w:p w:rsidR="000876BF" w:rsidRPr="00A073ED" w:rsidRDefault="000876BF" w:rsidP="000876BF">
      <w:pPr>
        <w:pStyle w:val="a5"/>
        <w:shd w:val="clear" w:color="auto" w:fill="FFFFFF"/>
        <w:spacing w:beforeAutospacing="0" w:afterAutospacing="0" w:line="600" w:lineRule="exact"/>
        <w:jc w:val="center"/>
        <w:rPr>
          <w:rFonts w:ascii="仿宋_GB2312" w:eastAsia="仿宋_GB2312" w:hint="eastAsia"/>
          <w:sz w:val="32"/>
          <w:szCs w:val="32"/>
        </w:rPr>
      </w:pPr>
      <w:r w:rsidRPr="00A073ED">
        <w:rPr>
          <w:rFonts w:ascii="仿宋_GB2312" w:eastAsia="仿宋_GB2312" w:hint="eastAsia"/>
          <w:sz w:val="32"/>
          <w:szCs w:val="32"/>
        </w:rPr>
        <w:t>（2025-04-14）</w:t>
      </w:r>
    </w:p>
    <w:p w:rsidR="000876BF" w:rsidRPr="00A073ED" w:rsidRDefault="000876BF"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据国际能源署官网10日报道，该机构9日发布了特别报告《能源与人工智能》，对能源与人工智能（AI）之间日益增长的联系提供了迄今最全面的全球性分析。报告显示，在AI应用的大力助推下，到2030年，数据中心的用电量将增加一倍以上。这将给全球能源安全以及实现二氧化碳减排目标带来新挑战。</w:t>
      </w:r>
    </w:p>
    <w:p w:rsidR="000876BF" w:rsidRPr="00A073ED" w:rsidRDefault="000876BF"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报告显示，在过去5年，全球数据中心占全球电力消耗量的比例以每年12%递增。按照现有速度，到2030年，全球数据中心的电力需求将增加一倍以上，达到每年约945太瓦时，略高于目前日本每年的总用电量。</w:t>
      </w:r>
    </w:p>
    <w:p w:rsidR="000876BF" w:rsidRPr="00A073ED" w:rsidRDefault="000876BF"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报告称，一个100兆瓦数据中心的耗电量可供10万个家庭使用。正在建设中的新数据中心的耗电量将会更多，可供多达200万个家庭使用。</w:t>
      </w:r>
    </w:p>
    <w:p w:rsidR="000876BF" w:rsidRPr="00A073ED" w:rsidRDefault="000876BF"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国际能源署表示，数据中心用电量的激增不可避免会导致碳排放增加，二氧化碳年排放量将从目前的1.8亿吨增加到2035年的3亿吨。2024年全球二氧化碳排放量预计将高达416亿吨。</w:t>
      </w:r>
    </w:p>
    <w:p w:rsidR="000876BF" w:rsidRDefault="000876BF" w:rsidP="000876BF">
      <w:pPr>
        <w:pStyle w:val="a5"/>
        <w:shd w:val="clear" w:color="auto" w:fill="FFFFFF"/>
        <w:spacing w:beforeAutospacing="0" w:afterAutospacing="0" w:line="600" w:lineRule="exact"/>
        <w:rPr>
          <w:rFonts w:ascii="仿宋_GB2312" w:eastAsia="仿宋_GB2312" w:hint="eastAsia"/>
          <w:sz w:val="32"/>
          <w:szCs w:val="32"/>
        </w:rPr>
      </w:pPr>
      <w:r w:rsidRPr="00A073ED">
        <w:rPr>
          <w:rFonts w:ascii="仿宋_GB2312" w:eastAsia="仿宋_GB2312" w:hint="eastAsia"/>
          <w:sz w:val="32"/>
          <w:szCs w:val="32"/>
        </w:rPr>
        <w:t xml:space="preserve">　　各国目前正积极建设发电厂并升级电网，以满足数据中心的能源需求。但国际能源署估计，20%的规划设施可能面临并网延迟情况。</w:t>
      </w:r>
    </w:p>
    <w:p w:rsidR="000876BF" w:rsidRDefault="000876BF" w:rsidP="000876BF">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073ED">
        <w:rPr>
          <w:rFonts w:ascii="仿宋_GB2312" w:eastAsia="仿宋_GB2312" w:hint="eastAsia"/>
          <w:sz w:val="32"/>
          <w:szCs w:val="32"/>
        </w:rPr>
        <w:t>（来源：科技日报）</w:t>
      </w:r>
    </w:p>
    <w:p w:rsidR="000876BF" w:rsidRDefault="000876BF" w:rsidP="000876BF">
      <w:pPr>
        <w:pStyle w:val="a5"/>
        <w:shd w:val="clear" w:color="auto" w:fill="FFFFFF"/>
        <w:spacing w:beforeAutospacing="0" w:afterAutospacing="0" w:line="600" w:lineRule="exact"/>
        <w:rPr>
          <w:rFonts w:ascii="仿宋_GB2312" w:eastAsia="仿宋_GB2312" w:hint="eastAsia"/>
          <w:sz w:val="32"/>
          <w:szCs w:val="32"/>
        </w:rPr>
      </w:pPr>
    </w:p>
    <w:p w:rsidR="00A073ED" w:rsidRPr="00A073ED" w:rsidRDefault="00A073ED" w:rsidP="000876BF">
      <w:pPr>
        <w:pStyle w:val="a5"/>
        <w:shd w:val="clear" w:color="auto" w:fill="FFFFFF"/>
        <w:spacing w:beforeAutospacing="0" w:afterAutospacing="0" w:line="600" w:lineRule="exact"/>
        <w:rPr>
          <w:rFonts w:ascii="仿宋_GB2312" w:eastAsia="仿宋_GB2312" w:hint="eastAsia"/>
          <w:sz w:val="32"/>
          <w:szCs w:val="32"/>
        </w:rPr>
      </w:pPr>
    </w:p>
    <w:p w:rsidR="00A073ED" w:rsidRPr="00A073ED" w:rsidRDefault="00A073ED" w:rsidP="000876BF">
      <w:pPr>
        <w:pStyle w:val="a5"/>
        <w:shd w:val="clear" w:color="auto" w:fill="FFFFFF"/>
        <w:spacing w:beforeAutospacing="0" w:afterAutospacing="0" w:line="600" w:lineRule="exact"/>
        <w:rPr>
          <w:rFonts w:ascii="仿宋_GB2312" w:eastAsia="仿宋_GB2312"/>
          <w:sz w:val="32"/>
          <w:szCs w:val="32"/>
        </w:rPr>
      </w:pPr>
    </w:p>
    <w:p w:rsidR="000D5F8F" w:rsidRDefault="000D5F8F" w:rsidP="00E449CE">
      <w:pPr>
        <w:pStyle w:val="a5"/>
        <w:shd w:val="clear" w:color="auto" w:fill="FFFFFF"/>
        <w:spacing w:beforeAutospacing="0" w:afterAutospacing="0" w:line="600" w:lineRule="exact"/>
        <w:rPr>
          <w:rFonts w:ascii="仿宋_GB2312" w:eastAsia="仿宋_GB2312" w:hint="eastAsia"/>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FF28F8" w:rsidP="0057220B">
      <w:pPr>
        <w:pStyle w:val="a5"/>
        <w:shd w:val="clear" w:color="auto" w:fill="FFFFFF"/>
        <w:spacing w:beforeAutospacing="0" w:afterAutospacing="0" w:line="520" w:lineRule="exact"/>
        <w:jc w:val="both"/>
      </w:pPr>
      <w:r w:rsidRPr="00FF28F8">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16" w:name="_GoBack"/>
      <w:bookmarkEnd w:id="16"/>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48E" w:rsidRDefault="0048348E">
      <w:pPr>
        <w:spacing w:line="240" w:lineRule="auto"/>
      </w:pPr>
      <w:r>
        <w:separator/>
      </w:r>
    </w:p>
  </w:endnote>
  <w:endnote w:type="continuationSeparator" w:id="0">
    <w:p w:rsidR="0048348E" w:rsidRDefault="004834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FF28F8">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FF28F8">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48348E">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FF28F8">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48E" w:rsidRDefault="0048348E">
      <w:pPr>
        <w:spacing w:line="240" w:lineRule="auto"/>
      </w:pPr>
      <w:r>
        <w:separator/>
      </w:r>
    </w:p>
  </w:footnote>
  <w:footnote w:type="continuationSeparator" w:id="0">
    <w:p w:rsidR="0048348E" w:rsidRDefault="0048348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35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876BF"/>
    <w:rsid w:val="0009686E"/>
    <w:rsid w:val="000B0FD9"/>
    <w:rsid w:val="000B60E7"/>
    <w:rsid w:val="000C17C9"/>
    <w:rsid w:val="000C2261"/>
    <w:rsid w:val="000C65AE"/>
    <w:rsid w:val="000D175A"/>
    <w:rsid w:val="000D5F8F"/>
    <w:rsid w:val="000D636A"/>
    <w:rsid w:val="000D68D2"/>
    <w:rsid w:val="000E6CF6"/>
    <w:rsid w:val="000F1B98"/>
    <w:rsid w:val="000F6EB0"/>
    <w:rsid w:val="000F7A1E"/>
    <w:rsid w:val="0010073A"/>
    <w:rsid w:val="00103177"/>
    <w:rsid w:val="00112766"/>
    <w:rsid w:val="00123624"/>
    <w:rsid w:val="00126174"/>
    <w:rsid w:val="00137AC5"/>
    <w:rsid w:val="001409DF"/>
    <w:rsid w:val="0014576A"/>
    <w:rsid w:val="001572E6"/>
    <w:rsid w:val="00165EDA"/>
    <w:rsid w:val="00166328"/>
    <w:rsid w:val="00170C0A"/>
    <w:rsid w:val="00172419"/>
    <w:rsid w:val="00173D64"/>
    <w:rsid w:val="00174377"/>
    <w:rsid w:val="001758A8"/>
    <w:rsid w:val="001905A9"/>
    <w:rsid w:val="001A0E0A"/>
    <w:rsid w:val="001A271C"/>
    <w:rsid w:val="001A3D8F"/>
    <w:rsid w:val="001A6629"/>
    <w:rsid w:val="001B3870"/>
    <w:rsid w:val="001C23E0"/>
    <w:rsid w:val="001C3C77"/>
    <w:rsid w:val="001C4CDF"/>
    <w:rsid w:val="001C6608"/>
    <w:rsid w:val="001C79A6"/>
    <w:rsid w:val="001D05E7"/>
    <w:rsid w:val="001D41B8"/>
    <w:rsid w:val="001D41E5"/>
    <w:rsid w:val="001D4C18"/>
    <w:rsid w:val="001E0328"/>
    <w:rsid w:val="001E41AA"/>
    <w:rsid w:val="001E75BE"/>
    <w:rsid w:val="001F4E41"/>
    <w:rsid w:val="001F5D88"/>
    <w:rsid w:val="001F6E3C"/>
    <w:rsid w:val="00200914"/>
    <w:rsid w:val="00201B6D"/>
    <w:rsid w:val="002038F0"/>
    <w:rsid w:val="002119E0"/>
    <w:rsid w:val="00223F18"/>
    <w:rsid w:val="002336DC"/>
    <w:rsid w:val="002502FC"/>
    <w:rsid w:val="00250808"/>
    <w:rsid w:val="002519B5"/>
    <w:rsid w:val="00254588"/>
    <w:rsid w:val="00262FD0"/>
    <w:rsid w:val="002648AA"/>
    <w:rsid w:val="00265E40"/>
    <w:rsid w:val="002664F4"/>
    <w:rsid w:val="0026681E"/>
    <w:rsid w:val="00272AEC"/>
    <w:rsid w:val="00282F09"/>
    <w:rsid w:val="002867CF"/>
    <w:rsid w:val="00291975"/>
    <w:rsid w:val="00291BC4"/>
    <w:rsid w:val="002950BB"/>
    <w:rsid w:val="002A220E"/>
    <w:rsid w:val="002B0641"/>
    <w:rsid w:val="002C31B4"/>
    <w:rsid w:val="002C6F76"/>
    <w:rsid w:val="002E003E"/>
    <w:rsid w:val="002E05C7"/>
    <w:rsid w:val="002F1BB9"/>
    <w:rsid w:val="002F2F16"/>
    <w:rsid w:val="00305D6C"/>
    <w:rsid w:val="00312AB4"/>
    <w:rsid w:val="0031431E"/>
    <w:rsid w:val="00315114"/>
    <w:rsid w:val="00334A0B"/>
    <w:rsid w:val="00336299"/>
    <w:rsid w:val="00336B39"/>
    <w:rsid w:val="00344A82"/>
    <w:rsid w:val="003509A4"/>
    <w:rsid w:val="003518A4"/>
    <w:rsid w:val="003550EE"/>
    <w:rsid w:val="0035661E"/>
    <w:rsid w:val="00356DC2"/>
    <w:rsid w:val="00361B48"/>
    <w:rsid w:val="0036241A"/>
    <w:rsid w:val="003654D3"/>
    <w:rsid w:val="00365851"/>
    <w:rsid w:val="003709C4"/>
    <w:rsid w:val="003724E1"/>
    <w:rsid w:val="00373F15"/>
    <w:rsid w:val="003872C4"/>
    <w:rsid w:val="00396374"/>
    <w:rsid w:val="003B13B3"/>
    <w:rsid w:val="003B7D1A"/>
    <w:rsid w:val="003C1347"/>
    <w:rsid w:val="003C7A29"/>
    <w:rsid w:val="003D264C"/>
    <w:rsid w:val="003D3B10"/>
    <w:rsid w:val="003D4D4C"/>
    <w:rsid w:val="003D5B3B"/>
    <w:rsid w:val="003E526D"/>
    <w:rsid w:val="003F1229"/>
    <w:rsid w:val="003F438F"/>
    <w:rsid w:val="003F5C40"/>
    <w:rsid w:val="00410B94"/>
    <w:rsid w:val="0041737B"/>
    <w:rsid w:val="00420B03"/>
    <w:rsid w:val="004218E6"/>
    <w:rsid w:val="00443136"/>
    <w:rsid w:val="00447E10"/>
    <w:rsid w:val="0045464B"/>
    <w:rsid w:val="00471706"/>
    <w:rsid w:val="004759ED"/>
    <w:rsid w:val="00480286"/>
    <w:rsid w:val="0048348E"/>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7220B"/>
    <w:rsid w:val="005808C6"/>
    <w:rsid w:val="00582491"/>
    <w:rsid w:val="00585CCE"/>
    <w:rsid w:val="005873A6"/>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A5B0A"/>
    <w:rsid w:val="006C7CD4"/>
    <w:rsid w:val="006D6196"/>
    <w:rsid w:val="006D6460"/>
    <w:rsid w:val="006F0AFE"/>
    <w:rsid w:val="006F720A"/>
    <w:rsid w:val="007060E9"/>
    <w:rsid w:val="007153C2"/>
    <w:rsid w:val="00730D4A"/>
    <w:rsid w:val="0073614B"/>
    <w:rsid w:val="00742215"/>
    <w:rsid w:val="007527CE"/>
    <w:rsid w:val="0075407B"/>
    <w:rsid w:val="00763EFB"/>
    <w:rsid w:val="00770A25"/>
    <w:rsid w:val="00774302"/>
    <w:rsid w:val="0077634A"/>
    <w:rsid w:val="007804FF"/>
    <w:rsid w:val="00781B73"/>
    <w:rsid w:val="00782E6A"/>
    <w:rsid w:val="0078591B"/>
    <w:rsid w:val="007916FC"/>
    <w:rsid w:val="007956E0"/>
    <w:rsid w:val="007A5CCD"/>
    <w:rsid w:val="007C7D07"/>
    <w:rsid w:val="007D1B93"/>
    <w:rsid w:val="007E06AC"/>
    <w:rsid w:val="007F2676"/>
    <w:rsid w:val="007F6880"/>
    <w:rsid w:val="00801B47"/>
    <w:rsid w:val="00801C1B"/>
    <w:rsid w:val="008137AC"/>
    <w:rsid w:val="008169EA"/>
    <w:rsid w:val="0081795F"/>
    <w:rsid w:val="00823BE4"/>
    <w:rsid w:val="00831558"/>
    <w:rsid w:val="00841998"/>
    <w:rsid w:val="00841F8A"/>
    <w:rsid w:val="00851B39"/>
    <w:rsid w:val="00853FAE"/>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37099"/>
    <w:rsid w:val="00942EB1"/>
    <w:rsid w:val="00947E85"/>
    <w:rsid w:val="0095392B"/>
    <w:rsid w:val="009629C0"/>
    <w:rsid w:val="00965A88"/>
    <w:rsid w:val="00977ADC"/>
    <w:rsid w:val="009831E1"/>
    <w:rsid w:val="009854B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5437"/>
    <w:rsid w:val="00A073ED"/>
    <w:rsid w:val="00A12480"/>
    <w:rsid w:val="00A15DEF"/>
    <w:rsid w:val="00A1728A"/>
    <w:rsid w:val="00A2057B"/>
    <w:rsid w:val="00A2119D"/>
    <w:rsid w:val="00A24108"/>
    <w:rsid w:val="00A31EEA"/>
    <w:rsid w:val="00A4314B"/>
    <w:rsid w:val="00A526FA"/>
    <w:rsid w:val="00A52B7F"/>
    <w:rsid w:val="00A543A3"/>
    <w:rsid w:val="00A55857"/>
    <w:rsid w:val="00A7724E"/>
    <w:rsid w:val="00A87CB9"/>
    <w:rsid w:val="00A93C8F"/>
    <w:rsid w:val="00A94432"/>
    <w:rsid w:val="00A95F3B"/>
    <w:rsid w:val="00AA64F3"/>
    <w:rsid w:val="00AB3FD4"/>
    <w:rsid w:val="00AB40AB"/>
    <w:rsid w:val="00AC0A42"/>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D3555"/>
    <w:rsid w:val="00DE1C71"/>
    <w:rsid w:val="00DE3F2F"/>
    <w:rsid w:val="00DE5394"/>
    <w:rsid w:val="00DF2DDB"/>
    <w:rsid w:val="00E02F76"/>
    <w:rsid w:val="00E15705"/>
    <w:rsid w:val="00E23B0C"/>
    <w:rsid w:val="00E2423D"/>
    <w:rsid w:val="00E24506"/>
    <w:rsid w:val="00E314DE"/>
    <w:rsid w:val="00E355FD"/>
    <w:rsid w:val="00E35E76"/>
    <w:rsid w:val="00E449CE"/>
    <w:rsid w:val="00E54D78"/>
    <w:rsid w:val="00E655DE"/>
    <w:rsid w:val="00E73E2F"/>
    <w:rsid w:val="00E82FC8"/>
    <w:rsid w:val="00E84A35"/>
    <w:rsid w:val="00E87C00"/>
    <w:rsid w:val="00E916D5"/>
    <w:rsid w:val="00E93FDD"/>
    <w:rsid w:val="00E94B72"/>
    <w:rsid w:val="00E9510D"/>
    <w:rsid w:val="00E97C6A"/>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2025-04-10T07:06:00Z</cp:lastPrinted>
  <dcterms:created xsi:type="dcterms:W3CDTF">2025-04-17T01:20:00Z</dcterms:created>
  <dcterms:modified xsi:type="dcterms:W3CDTF">2025-04-17T06:35:00Z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