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20</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7F5C95">
        <w:rPr>
          <w:rFonts w:ascii="仿宋_GB2312" w:eastAsia="仿宋_GB2312" w:hAnsi="宋体" w:hint="eastAsia"/>
          <w:b/>
          <w:sz w:val="36"/>
          <w:szCs w:val="44"/>
        </w:rPr>
        <w:t>4</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F216F4">
        <w:rPr>
          <w:rFonts w:ascii="仿宋_GB2312" w:eastAsia="仿宋_GB2312" w:hAnsi="Gungsuh" w:hint="eastAsia"/>
          <w:b/>
          <w:sz w:val="32"/>
          <w:szCs w:val="32"/>
        </w:rPr>
        <w:t>5</w:t>
      </w:r>
      <w:r>
        <w:rPr>
          <w:rFonts w:ascii="仿宋_GB2312" w:eastAsia="仿宋_GB2312" w:hAnsi="Gungsuh" w:hint="eastAsia"/>
          <w:b/>
          <w:sz w:val="32"/>
          <w:szCs w:val="32"/>
        </w:rPr>
        <w:t>月</w:t>
      </w:r>
      <w:r w:rsidR="007F5C95">
        <w:rPr>
          <w:rFonts w:ascii="仿宋_GB2312" w:eastAsia="仿宋_GB2312" w:hAnsi="Gungsuh" w:hint="eastAsia"/>
          <w:b/>
          <w:sz w:val="32"/>
          <w:szCs w:val="32"/>
        </w:rPr>
        <w:t>30</w:t>
      </w:r>
      <w:r>
        <w:rPr>
          <w:rFonts w:ascii="仿宋_GB2312" w:eastAsia="仿宋_GB2312" w:hAnsi="Gungsuh" w:hint="eastAsia"/>
          <w:b/>
          <w:sz w:val="32"/>
          <w:szCs w:val="32"/>
        </w:rPr>
        <w:t>日</w:t>
      </w:r>
    </w:p>
    <w:p w:rsidR="004D0412" w:rsidRDefault="00770C16">
      <w:pPr>
        <w:spacing w:line="400" w:lineRule="exact"/>
        <w:rPr>
          <w:rFonts w:ascii="仿宋_GB2312" w:eastAsia="仿宋_GB2312" w:hAnsi="Gungsuh"/>
          <w:b/>
          <w:sz w:val="32"/>
          <w:szCs w:val="32"/>
        </w:rPr>
      </w:pPr>
      <w:r w:rsidRPr="00770C16">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贵安智算能力突飞猛进</w:t>
      </w:r>
    </w:p>
    <w:p w:rsidR="00A856A4" w:rsidRDefault="00C32995" w:rsidP="00A2119D">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A856A4" w:rsidRPr="00A856A4">
        <w:rPr>
          <w:rFonts w:ascii="仿宋_GB2312" w:hint="eastAsia"/>
          <w:b/>
          <w:bCs/>
          <w:sz w:val="32"/>
          <w:szCs w:val="32"/>
        </w:rPr>
        <w:t xml:space="preserve">贵安集聚26个大型数据中心  </w:t>
      </w:r>
    </w:p>
    <w:p w:rsidR="00166328" w:rsidRDefault="00A856A4"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A856A4">
        <w:rPr>
          <w:rFonts w:ascii="仿宋_GB2312" w:hint="eastAsia"/>
          <w:b/>
          <w:bCs/>
          <w:sz w:val="32"/>
          <w:szCs w:val="32"/>
        </w:rPr>
        <w:t>智算占比超98%、国产化率约90%</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黔南州数字治理水平位列全省第一</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天津：打造有全国影响力的人工智能赋能应用引领区</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江苏：到2027年数字经济核心产业增加值达1.8万亿元</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南昌加速推进“人工智能+”行动计划</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hint="eastAsia"/>
        </w:rPr>
        <w:t xml:space="preserve"> </w:t>
      </w:r>
      <w:r w:rsidR="00A856A4" w:rsidRPr="00A856A4">
        <w:rPr>
          <w:rFonts w:ascii="仿宋_GB2312" w:hint="eastAsia"/>
          <w:b/>
          <w:bCs/>
          <w:sz w:val="32"/>
          <w:szCs w:val="32"/>
        </w:rPr>
        <w:t>8部门发文加快数智供应链发展</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世界首个星载实时操作系统标准审查通过</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A856A4" w:rsidRPr="00A856A4">
        <w:rPr>
          <w:rFonts w:ascii="仿宋_GB2312" w:hint="eastAsia"/>
          <w:b/>
          <w:bCs/>
          <w:sz w:val="32"/>
          <w:szCs w:val="32"/>
        </w:rPr>
        <w:t>法国让</w:t>
      </w:r>
      <w:r w:rsidR="00A856A4" w:rsidRPr="00A856A4">
        <w:rPr>
          <w:rFonts w:ascii="宋体" w:eastAsia="宋体" w:hAnsi="宋体" w:cs="宋体" w:hint="eastAsia"/>
          <w:b/>
          <w:bCs/>
          <w:sz w:val="32"/>
          <w:szCs w:val="32"/>
        </w:rPr>
        <w:t>•</w:t>
      </w:r>
      <w:r w:rsidR="00A856A4" w:rsidRPr="00A856A4">
        <w:rPr>
          <w:rFonts w:ascii="仿宋_GB2312" w:hAnsi="仿宋_GB2312" w:cs="仿宋_GB2312" w:hint="eastAsia"/>
          <w:b/>
          <w:bCs/>
          <w:sz w:val="32"/>
          <w:szCs w:val="32"/>
        </w:rPr>
        <w:t>扎伊超级计算机完成第四次扩展</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2C7F24" w:rsidRPr="002C7F24" w:rsidRDefault="002C7F24" w:rsidP="002C7F24">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C7F24">
        <w:rPr>
          <w:rFonts w:ascii="方正小标宋简体" w:eastAsia="方正小标宋简体" w:hint="eastAsia"/>
          <w:sz w:val="44"/>
          <w:szCs w:val="44"/>
        </w:rPr>
        <w:lastRenderedPageBreak/>
        <w:t>贵安智算能力突飞猛进</w:t>
      </w:r>
    </w:p>
    <w:p w:rsidR="002C7F24" w:rsidRPr="002C7F24" w:rsidRDefault="002C7F24" w:rsidP="002C7F24">
      <w:pPr>
        <w:pStyle w:val="a5"/>
        <w:shd w:val="clear" w:color="auto" w:fill="FFFFFF"/>
        <w:spacing w:beforeAutospacing="0" w:afterAutospacing="0" w:line="600" w:lineRule="exact"/>
        <w:jc w:val="center"/>
        <w:rPr>
          <w:rFonts w:ascii="仿宋_GB2312" w:eastAsia="仿宋_GB2312" w:hint="eastAsia"/>
          <w:sz w:val="32"/>
          <w:szCs w:val="32"/>
        </w:rPr>
      </w:pPr>
      <w:r w:rsidRPr="002C7F24">
        <w:rPr>
          <w:rFonts w:ascii="仿宋_GB2312" w:eastAsia="仿宋_GB2312" w:hint="eastAsia"/>
          <w:sz w:val="32"/>
          <w:szCs w:val="32"/>
        </w:rPr>
        <w:t>（2025-05-23）</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5月21日，来自贵安新区大数据与科技创新局的数据显示，截至目前，贵安新区已集聚26个大型及以上数据（算力）中心，规划标准机架超140万架，算力规模突破76EFLOPS。其中智算占比超98%、国产化率约90%，已成为全国国产化智算能力最强的地区之一，构建起“天上有‘云’、地上有‘端’、中间有‘网’”的完备算力基础设施体系。</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近年来，围绕打造面向全国的算力保障基地，贵安新区算力高地加快建设、算力水平持续提升，算力品牌不断打响，赋能千行百业成果丰硕。</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作为贵安首家启动建设、运营投产的数据中心，自建成投用以来，中国电信云计算贵州信息园算力增长300%，成为南方规模最大、数据交互最活跃的国家级算力节点，机架规模增长12倍达1.4万架，服务器数量激增700倍至12万台，出省带宽扩容180倍至18T，成为集通算、智算、超算于一体的超大型绿色数据中心。</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以算力赋能千行百业，《哪吒之魔童闹海》《流浪地球》等影视作品、“法管家”大模型、贵安发展云等应用都依托贵安算力进行渲染、训练、使用。而广电五舟、惠科光电等电子信息制造企业，以及依托华为云等头部企业吸引的青软集团、纷享销客等软件和信息技术服务企业，形成了“一硬一软”产业生态圈。2024年，贵安新区软件和信息技术服务业收入达709亿元。</w:t>
      </w:r>
    </w:p>
    <w:p w:rsid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根据规划，贵安新区已在马场产业新城预留了1.5万亩建设用地，未来可承载800万至1000万台服务器，发展空间广阔，贵安新区正加速从“成本中心”向“效益中心”转型。</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（来源：贵州日报）</w:t>
      </w:r>
    </w:p>
    <w:p w:rsidR="002C7F24" w:rsidRPr="002C7F24" w:rsidRDefault="002C7F24" w:rsidP="002C7F24">
      <w:pPr>
        <w:pStyle w:val="a5"/>
        <w:shd w:val="clear" w:color="auto" w:fill="FFFFFF"/>
        <w:spacing w:beforeAutospacing="0" w:afterAutospacing="0" w:line="600" w:lineRule="exact"/>
        <w:rPr>
          <w:rFonts w:ascii="仿宋_GB2312" w:eastAsia="仿宋_GB2312"/>
          <w:sz w:val="32"/>
          <w:szCs w:val="32"/>
        </w:rPr>
      </w:pPr>
    </w:p>
    <w:p w:rsidR="002C7F24" w:rsidRPr="002C7F24" w:rsidRDefault="002C7F24" w:rsidP="002C7F24">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1"/>
      <w:bookmarkStart w:id="1" w:name="OLE_LINK2"/>
      <w:bookmarkStart w:id="2" w:name="OLE_LINK3"/>
      <w:r w:rsidRPr="002C7F24">
        <w:rPr>
          <w:rFonts w:ascii="方正小标宋简体" w:eastAsia="方正小标宋简体" w:hint="eastAsia"/>
          <w:sz w:val="44"/>
          <w:szCs w:val="44"/>
        </w:rPr>
        <w:t>贵安集聚26个大型数据中心</w:t>
      </w:r>
    </w:p>
    <w:p w:rsidR="002C7F24" w:rsidRPr="00A856A4" w:rsidRDefault="002C7F24" w:rsidP="002C7F24">
      <w:pPr>
        <w:pStyle w:val="a5"/>
        <w:shd w:val="clear" w:color="auto" w:fill="FFFFFF"/>
        <w:spacing w:beforeAutospacing="0" w:afterAutospacing="0" w:line="600" w:lineRule="exact"/>
        <w:jc w:val="center"/>
        <w:rPr>
          <w:rFonts w:ascii="方正小标宋简体" w:eastAsia="方正小标宋简体" w:hint="eastAsia"/>
          <w:sz w:val="32"/>
          <w:szCs w:val="32"/>
        </w:rPr>
      </w:pPr>
      <w:r w:rsidRPr="00A856A4">
        <w:rPr>
          <w:rFonts w:ascii="方正小标宋简体" w:eastAsia="方正小标宋简体" w:hint="eastAsia"/>
          <w:sz w:val="32"/>
          <w:szCs w:val="32"/>
        </w:rPr>
        <w:t>智算占比超98%、国产化率约90%</w:t>
      </w:r>
      <w:bookmarkEnd w:id="0"/>
      <w:bookmarkEnd w:id="1"/>
      <w:bookmarkEnd w:id="2"/>
    </w:p>
    <w:p w:rsidR="002C7F24" w:rsidRPr="002C7F24" w:rsidRDefault="002C7F24" w:rsidP="002C7F24">
      <w:pPr>
        <w:pStyle w:val="a5"/>
        <w:shd w:val="clear" w:color="auto" w:fill="FFFFFF"/>
        <w:spacing w:beforeAutospacing="0" w:afterAutospacing="0" w:line="600" w:lineRule="exact"/>
        <w:jc w:val="center"/>
        <w:rPr>
          <w:rFonts w:ascii="仿宋_GB2312" w:eastAsia="仿宋_GB2312" w:hint="eastAsia"/>
          <w:sz w:val="32"/>
          <w:szCs w:val="32"/>
        </w:rPr>
      </w:pPr>
      <w:r w:rsidRPr="002C7F24">
        <w:rPr>
          <w:rFonts w:ascii="仿宋_GB2312" w:eastAsia="仿宋_GB2312" w:hint="eastAsia"/>
          <w:sz w:val="32"/>
          <w:szCs w:val="32"/>
        </w:rPr>
        <w:t>（2025-05-27）</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记者近日从贵安新区大数据和科技创新局获悉，贵安新区大数据产业加速发展，目前已集聚26个大型及以上数据（算力）中心，规划标准机架超140万架，算力规模突破76EFLOPS，其中，智算占比超98%、国产化率约90%，已成为全国国产化智算能力最强的地区之一。</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近年来，贵安新区围绕打造面向全国的算力保障基地目标持续发力，取得丰硕成果。以中国电信云计算贵州信息园为例，作为贵安新区第一家启动建设、第一家运营投产的数据中心，自建成投用以来，该信息园算力增长300%，成为南方规模最大、数据交互最活跃的国家级算力节点，机架规模增长12倍达1.4万架，服务器数量激增700倍至12万台，出省带宽扩容180倍达18T，成为集通算、智算、超算于一体的超大型绿色数据中心。同时，贵安新区数据中心平均PUE（电能利用效率）低至1.2，按照100万台服务器测算，每年可节省电量10.1亿千瓦时，相当于减少碳排放81万吨。</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依托强大的算力底座，贵安新区正加速激活千行百业数字潜能，推动数字经济高质量发展。在高端制造业领域，新区聚焦“芯、件、板、机、器”，推动电子信息制造业集聚发展，今年一季度，新区规上电子信息制造业完成工业产值23.5亿元、同比增长35%。软件产业方面，今年以来新招引华为云生态企业9家，累计达到71家。在数字要素供需领域，截至今年5月，贵州枢纽节点调度平台已汇聚42家算力服务商、170个算力产品，服务覆盖影视渲染、生物医学等多元场景。</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同时，作为贵阳贵安融合发展的中心区域，正在加速发展的贵阳大数据科创城“前店”效应不断凸显，截至5月16日，共招引注册企业1646家，其中大数据企业847家，形成算力、AI、数据标注三大产业集群，与数据中心集群形成协同发展态势。</w:t>
      </w:r>
    </w:p>
    <w:p w:rsid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sidRPr="002C7F24">
        <w:rPr>
          <w:rFonts w:ascii="仿宋_GB2312" w:eastAsia="仿宋_GB2312" w:hint="eastAsia"/>
          <w:sz w:val="32"/>
          <w:szCs w:val="32"/>
        </w:rPr>
        <w:t xml:space="preserve">    随着“东数西训”“东数西渲”等场景的不断深化应用，贵安新区正加速从“成本中心”向“效益中心”转型。数据显示，2024年，贵安新区直管区生产总值增长21.1%，贵阳贵安数字经济增加值占比达53.3%，正成为西部数字经济发展新的“增长极”。根据规划，贵安新区在马场产业新城预留了1.5万亩建设用地，未来可承载800万至1000万台服务器，发展空间广阔。</w:t>
      </w:r>
    </w:p>
    <w:p w:rsidR="002C7F24" w:rsidRPr="002C7F24" w:rsidRDefault="002C7F24" w:rsidP="002C7F24">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（来源：贵阳日报）</w:t>
      </w:r>
    </w:p>
    <w:p w:rsidR="002C7F24" w:rsidRPr="002C7F24" w:rsidRDefault="002C7F24" w:rsidP="000700F8">
      <w:pPr>
        <w:pStyle w:val="a5"/>
        <w:shd w:val="clear" w:color="auto" w:fill="FFFFFF"/>
        <w:spacing w:beforeAutospacing="0" w:afterAutospacing="0"/>
        <w:jc w:val="center"/>
        <w:rPr>
          <w:rFonts w:ascii="方正小标宋简体" w:eastAsia="方正小标宋简体" w:hint="eastAsia"/>
          <w:sz w:val="44"/>
          <w:szCs w:val="44"/>
        </w:rPr>
      </w:pPr>
      <w:bookmarkStart w:id="3" w:name="OLE_LINK4"/>
      <w:bookmarkStart w:id="4" w:name="OLE_LINK5"/>
      <w:r w:rsidRPr="002C7F24">
        <w:rPr>
          <w:rFonts w:ascii="方正小标宋简体" w:eastAsia="方正小标宋简体" w:hint="eastAsia"/>
          <w:sz w:val="44"/>
          <w:szCs w:val="44"/>
        </w:rPr>
        <w:t>黔南州数字治理水平位列全省第一</w:t>
      </w:r>
      <w:bookmarkEnd w:id="3"/>
      <w:bookmarkEnd w:id="4"/>
    </w:p>
    <w:p w:rsidR="002C7F24" w:rsidRPr="002C7F24" w:rsidRDefault="002C7F24" w:rsidP="000700F8">
      <w:pPr>
        <w:pStyle w:val="a5"/>
        <w:shd w:val="clear" w:color="auto" w:fill="FFFFFF"/>
        <w:spacing w:beforeAutospacing="0" w:afterAutospacing="0"/>
        <w:jc w:val="center"/>
        <w:rPr>
          <w:rFonts w:ascii="仿宋_GB2312" w:eastAsia="仿宋_GB2312" w:hint="eastAsia"/>
          <w:sz w:val="32"/>
          <w:szCs w:val="32"/>
        </w:rPr>
      </w:pPr>
      <w:r w:rsidRPr="002C7F24">
        <w:rPr>
          <w:rFonts w:ascii="仿宋_GB2312" w:eastAsia="仿宋_GB2312" w:hint="eastAsia"/>
          <w:sz w:val="32"/>
          <w:szCs w:val="32"/>
        </w:rPr>
        <w:t>（2025-05-23）</w:t>
      </w:r>
    </w:p>
    <w:p w:rsidR="002C7F24" w:rsidRPr="002C7F24" w:rsidRDefault="002C7F24"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记者从省政府新闻办召开的新闻发布会获悉，黔南州围绕“数据要素×”，在数联网和大模型建设等方面亮点频出，其中，数字治理水平位列全省第一。</w:t>
      </w:r>
    </w:p>
    <w:p w:rsidR="002C7F24" w:rsidRPr="002C7F24" w:rsidRDefault="002C7F24"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黔南州以“政府主导、市场主建”模式，围绕打造全省大数据战略行动示范工程，建设了全州共性基础底座——黔南数联网，为政府、实体企业提供一套集数据汇聚治理、融合应用、连接市场、安全防护等功能为一体的数据流通应用工具，沉淀本地数字化交易、治理、服务等领域数据22亿余条，助力实现“高效处置一件事、高效办成一件事”。</w:t>
      </w:r>
    </w:p>
    <w:p w:rsidR="002C7F24" w:rsidRDefault="002C7F24"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近年来，黔南数联网建设经验被国家信息中心写入《中国数字政府建设技术蓝皮书》典型案例，多次获评全省优秀改革案例、优秀改革试点，基于数联网赋能旅游产业发展案例获2024年全国“数据要素×”大赛总决赛应用实践奖。</w:t>
      </w:r>
    </w:p>
    <w:p w:rsidR="002C7F24" w:rsidRPr="002C7F24" w:rsidRDefault="002C7F24" w:rsidP="000700F8">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（来源：贵州日报）</w:t>
      </w:r>
    </w:p>
    <w:p w:rsidR="002C7F24" w:rsidRPr="002C7F24" w:rsidRDefault="002C7F24" w:rsidP="000700F8">
      <w:pPr>
        <w:pStyle w:val="a5"/>
        <w:shd w:val="clear" w:color="auto" w:fill="FFFFFF"/>
        <w:spacing w:beforeAutospacing="0" w:afterAutospacing="0"/>
        <w:rPr>
          <w:rFonts w:ascii="仿宋_GB2312" w:eastAsia="仿宋_GB2312"/>
          <w:sz w:val="32"/>
          <w:szCs w:val="32"/>
        </w:rPr>
      </w:pPr>
    </w:p>
    <w:p w:rsidR="000C0FF8" w:rsidRDefault="000C0FF8" w:rsidP="000C0FF8">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5" w:name="OLE_LINK6"/>
      <w:bookmarkStart w:id="6" w:name="OLE_LINK7"/>
      <w:r w:rsidRPr="000C0FF8">
        <w:rPr>
          <w:rFonts w:ascii="方正小标宋简体" w:eastAsia="方正小标宋简体" w:hint="eastAsia"/>
          <w:sz w:val="44"/>
          <w:szCs w:val="44"/>
        </w:rPr>
        <w:t>天津：打造有全国影响力的人工智能</w:t>
      </w:r>
    </w:p>
    <w:p w:rsidR="000C0FF8" w:rsidRPr="000C0FF8" w:rsidRDefault="000C0FF8" w:rsidP="000C0FF8">
      <w:pPr>
        <w:pStyle w:val="a5"/>
        <w:shd w:val="clear" w:color="auto" w:fill="FFFFFF"/>
        <w:spacing w:beforeAutospacing="0" w:afterAutospacing="0" w:line="640" w:lineRule="exact"/>
        <w:jc w:val="center"/>
        <w:rPr>
          <w:rFonts w:ascii="方正小标宋简体" w:eastAsia="方正小标宋简体" w:hint="eastAsia"/>
          <w:sz w:val="44"/>
          <w:szCs w:val="44"/>
        </w:rPr>
      </w:pPr>
      <w:r w:rsidRPr="000C0FF8">
        <w:rPr>
          <w:rFonts w:ascii="方正小标宋简体" w:eastAsia="方正小标宋简体" w:hint="eastAsia"/>
          <w:sz w:val="44"/>
          <w:szCs w:val="44"/>
        </w:rPr>
        <w:t>赋能应用引领区</w:t>
      </w:r>
      <w:bookmarkEnd w:id="5"/>
      <w:bookmarkEnd w:id="6"/>
    </w:p>
    <w:p w:rsidR="000C0FF8" w:rsidRPr="002C7F24" w:rsidRDefault="000C0FF8" w:rsidP="000700F8">
      <w:pPr>
        <w:pStyle w:val="a5"/>
        <w:shd w:val="clear" w:color="auto" w:fill="FFFFFF"/>
        <w:spacing w:beforeAutospacing="0" w:afterAutospacing="0" w:line="540" w:lineRule="exact"/>
        <w:jc w:val="center"/>
        <w:rPr>
          <w:rFonts w:ascii="仿宋_GB2312" w:eastAsia="仿宋_GB2312" w:hint="eastAsia"/>
          <w:sz w:val="32"/>
          <w:szCs w:val="32"/>
        </w:rPr>
      </w:pPr>
      <w:r w:rsidRPr="002C7F24">
        <w:rPr>
          <w:rFonts w:ascii="仿宋_GB2312" w:eastAsia="仿宋_GB2312" w:hint="eastAsia"/>
          <w:sz w:val="32"/>
          <w:szCs w:val="32"/>
        </w:rPr>
        <w:t>（2025-05-26）</w:t>
      </w:r>
    </w:p>
    <w:p w:rsidR="000C0FF8" w:rsidRPr="002C7F24" w:rsidRDefault="000C0FF8" w:rsidP="000700F8">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日前，天津市人民政府办公厅印发《天津市促进人工智能创新发展行动方案（2025—2027年）》（以下简称“行动方案”），提出充分发挥信创链条完备、应用场景丰富的资源禀赋优势，一体推进研发攻关、应用示范、产业集聚，打造“人工智能（AI）+信创”新优势，形成“底层技术引领、应用场景开放、产业生态健全”的发展环境。</w:t>
      </w:r>
    </w:p>
    <w:p w:rsidR="000C0FF8" w:rsidRPr="002C7F24" w:rsidRDefault="000C0FF8" w:rsidP="000700F8">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到2027年，攻克100项关键核心技术，在图形处理器（GPU）、AI操作系统、AI服务器、具身智能等领域技术水平居全国前列，培育30个人工智能应用标杆场景，人工智能基础核心企业营业收入突破1000亿元，形成3至4个特色产业集聚区，打造成为具有全国影响力的人工智能底层技术创新策源地和赋能应用引领区。</w:t>
      </w:r>
    </w:p>
    <w:p w:rsidR="000C0FF8" w:rsidRPr="002C7F24" w:rsidRDefault="000C0FF8" w:rsidP="000700F8">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行动方案提出，夯实底层技术，提升核心能力。支持算力技术攻关和平台建设。推动安全可靠底层技术攻关。建设高性能智能芯片研发平台，支持中央处理器（CPU）、GPU等核心芯片研发与迭代。支持可重构及存算一体、开源指令集（RISCV）架构、边缘计算等芯片和高速通信网卡研发。推动“云、边、端”融合的AI操作系统、AI数据库、工业软件等研发。加强核心算法技术研发。推动前沿基础理论研究，支持自然语言处理、机器视觉、深度学习、感知算法、大模型训练架构等基础算法研究，加强国产开源社区建设。构建开放共享数据资源。建设一批高质量数据集，鼓励数据采集、处理、应用、质量管理等标准规范制定，聚焦行业应用，推出一批用于开放训练、标准测试的高质量数据集和语料库，推动构建AI合成数据集。</w:t>
      </w:r>
    </w:p>
    <w:p w:rsidR="000C0FF8" w:rsidRDefault="000C0FF8" w:rsidP="000700F8">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根据《行动方案》，天津市将开展“人工智能+科研”“人工智能+制造”“人工智能+医疗”“人工智能+康养”“人工智能+教育”“人工智能+城市治理”“人工智能+交通”“人工智能+文旅”行动。</w:t>
      </w:r>
    </w:p>
    <w:p w:rsidR="000C0FF8" w:rsidRPr="002C7F24" w:rsidRDefault="000C0FF8" w:rsidP="000700F8">
      <w:pPr>
        <w:pStyle w:val="a5"/>
        <w:shd w:val="clear" w:color="auto" w:fill="FFFFFF"/>
        <w:spacing w:beforeAutospacing="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（来源：人民邮电报）</w:t>
      </w:r>
    </w:p>
    <w:p w:rsidR="000C0FF8" w:rsidRDefault="000C0FF8" w:rsidP="000C0FF8">
      <w:pPr>
        <w:pStyle w:val="a5"/>
        <w:shd w:val="clear" w:color="auto" w:fill="FFFFFF"/>
        <w:spacing w:beforeAutospacing="0" w:afterAutospacing="0" w:line="640" w:lineRule="exact"/>
        <w:jc w:val="center"/>
        <w:rPr>
          <w:rFonts w:ascii="方正小标宋简体" w:eastAsia="方正小标宋简体" w:hint="eastAsia"/>
          <w:sz w:val="44"/>
          <w:szCs w:val="44"/>
        </w:rPr>
      </w:pPr>
      <w:bookmarkStart w:id="7" w:name="OLE_LINK8"/>
      <w:bookmarkStart w:id="8" w:name="OLE_LINK9"/>
      <w:r w:rsidRPr="000C0FF8">
        <w:rPr>
          <w:rFonts w:ascii="方正小标宋简体" w:eastAsia="方正小标宋简体" w:hint="eastAsia"/>
          <w:sz w:val="44"/>
          <w:szCs w:val="44"/>
        </w:rPr>
        <w:t>江苏</w:t>
      </w:r>
      <w:r>
        <w:rPr>
          <w:rFonts w:ascii="方正小标宋简体" w:eastAsia="方正小标宋简体" w:hint="eastAsia"/>
          <w:sz w:val="44"/>
          <w:szCs w:val="44"/>
        </w:rPr>
        <w:t>：</w:t>
      </w:r>
      <w:r w:rsidRPr="000C0FF8">
        <w:rPr>
          <w:rFonts w:ascii="方正小标宋简体" w:eastAsia="方正小标宋简体" w:hint="eastAsia"/>
          <w:sz w:val="44"/>
          <w:szCs w:val="44"/>
        </w:rPr>
        <w:t>到2027年数字经济核心产业</w:t>
      </w:r>
    </w:p>
    <w:p w:rsidR="000C0FF8" w:rsidRPr="000C0FF8" w:rsidRDefault="000C0FF8" w:rsidP="000C0FF8">
      <w:pPr>
        <w:pStyle w:val="a5"/>
        <w:shd w:val="clear" w:color="auto" w:fill="FFFFFF"/>
        <w:spacing w:beforeAutospacing="0" w:afterAutospacing="0" w:line="640" w:lineRule="exact"/>
        <w:jc w:val="center"/>
        <w:rPr>
          <w:rFonts w:ascii="方正小标宋简体" w:eastAsia="方正小标宋简体" w:hint="eastAsia"/>
          <w:sz w:val="44"/>
          <w:szCs w:val="44"/>
        </w:rPr>
      </w:pPr>
      <w:r w:rsidRPr="000C0FF8">
        <w:rPr>
          <w:rFonts w:ascii="方正小标宋简体" w:eastAsia="方正小标宋简体" w:hint="eastAsia"/>
          <w:sz w:val="44"/>
          <w:szCs w:val="44"/>
        </w:rPr>
        <w:t>增加值达1.8万亿元</w:t>
      </w:r>
      <w:bookmarkEnd w:id="7"/>
      <w:bookmarkEnd w:id="8"/>
    </w:p>
    <w:p w:rsidR="000C0FF8" w:rsidRPr="002C7F24" w:rsidRDefault="000C0FF8" w:rsidP="000700F8">
      <w:pPr>
        <w:pStyle w:val="a5"/>
        <w:shd w:val="clear" w:color="auto" w:fill="FFFFFF"/>
        <w:spacing w:beforeAutospacing="0" w:afterAutospacing="0"/>
        <w:jc w:val="center"/>
        <w:rPr>
          <w:rFonts w:ascii="仿宋_GB2312" w:eastAsia="仿宋_GB2312" w:hint="eastAsia"/>
          <w:sz w:val="32"/>
          <w:szCs w:val="32"/>
        </w:rPr>
      </w:pPr>
      <w:r w:rsidRPr="002C7F24">
        <w:rPr>
          <w:rFonts w:ascii="仿宋_GB2312" w:eastAsia="仿宋_GB2312" w:hint="eastAsia"/>
          <w:sz w:val="32"/>
          <w:szCs w:val="32"/>
        </w:rPr>
        <w:t>（2025-05-26）</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日前，江苏省人民政府印发《江苏省数字经济高质量发展三年行动计划（2025—2027年）》（以下简称《行动计划》），提出到2027年，全省数据要素市场体系基本建立，数据开发开放和流通使用水平显著提升，数字技术与实体经济融合程度加深，数字经济核心产业增加值达1.8万亿元，形成一批适应数字化发展的改革创新举措，培育一批具有核心竞争力、市场引领力的数字经济企业，做强一批数字经济特色产业园区，打造具有国际竞争力的数字产业集群，国家数字经济创新发展试验区建设取得显著成效，为培育新质生产力、赋能高质量发展提供有力支撑。</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行动计划》提出，强化关键要素供给，积极参与全国一体化数据市场建设，出台数据要素市场化配置改革行动方案，统筹全省数据交易场所建设。推动关键核心技术攻关。统筹实施省科技重大专项和省前沿技术研发计划，聚焦人工智能、6G技术、集成电路等重点领域，每年部署40项左右数字技术研发项目。</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江苏省将深入实施“人工智能+”行动，推动人工智能赋能新型工业化，大力发展“人工智能+低空经济”“人工智能+数字金融”等融合发展新业态。推进产业数字化转型。实施新一轮深化制造业“智改数转网联”三年行动计划，加快构建智能工厂梯度建设体系。推进中小企业数字化赋能专项行动，力争创新型中小工业企业数字化转型覆盖率达到30％以上。重点打造集成电路、新一代信息通信等战略引领类产业集群，高端软件与信息服务、物联网、人工智能等战略支撑类产业集群。</w:t>
      </w:r>
    </w:p>
    <w:p w:rsidR="000C0FF8"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行动计划》提出，完善数字基础设施，夯实数字经济发展基础。深化城市重点场所5G信号覆盖，推进农村5G网络性能提档，前瞻布局5G-A网络。深入推进IPv6规模部署和应用，加快提升固定网络IPv6流量。加快工业无源光网络部署应用，提升园区万兆网络接入能力，打造一批万兆园区。统筹建设通用计算、智能计算、超级计算等算力中心，打造“布局合理、结构多元、云边协同”的算力综合供给体系。推动全省算力中心标准机架数达80万架，智算规模超25EFlops。</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（来源：人民邮电报）</w:t>
      </w:r>
    </w:p>
    <w:p w:rsidR="000C0FF8" w:rsidRPr="002C7F24" w:rsidRDefault="000C0FF8" w:rsidP="000700F8">
      <w:pPr>
        <w:pStyle w:val="a5"/>
        <w:shd w:val="clear" w:color="auto" w:fill="FFFFFF"/>
        <w:spacing w:beforeAutospacing="0" w:afterAutospacing="0"/>
        <w:rPr>
          <w:rFonts w:ascii="仿宋_GB2312" w:eastAsia="仿宋_GB2312"/>
          <w:sz w:val="32"/>
          <w:szCs w:val="32"/>
        </w:rPr>
      </w:pPr>
    </w:p>
    <w:p w:rsidR="000C0FF8" w:rsidRPr="000C0FF8" w:rsidRDefault="000C0FF8" w:rsidP="000700F8">
      <w:pPr>
        <w:pStyle w:val="a5"/>
        <w:shd w:val="clear" w:color="auto" w:fill="FFFFFF"/>
        <w:spacing w:beforeAutospacing="0" w:afterAutospacing="0"/>
        <w:jc w:val="center"/>
        <w:rPr>
          <w:rFonts w:ascii="方正小标宋简体" w:eastAsia="方正小标宋简体" w:hint="eastAsia"/>
          <w:sz w:val="44"/>
          <w:szCs w:val="44"/>
        </w:rPr>
      </w:pPr>
      <w:bookmarkStart w:id="9" w:name="OLE_LINK10"/>
      <w:bookmarkStart w:id="10" w:name="OLE_LINK11"/>
      <w:r w:rsidRPr="000C0FF8">
        <w:rPr>
          <w:rFonts w:ascii="方正小标宋简体" w:eastAsia="方正小标宋简体" w:hint="eastAsia"/>
          <w:sz w:val="44"/>
          <w:szCs w:val="44"/>
        </w:rPr>
        <w:t>南昌加速推进“人工智能+”行动计划</w:t>
      </w:r>
      <w:bookmarkEnd w:id="9"/>
      <w:bookmarkEnd w:id="10"/>
    </w:p>
    <w:p w:rsidR="000C0FF8" w:rsidRPr="002C7F24" w:rsidRDefault="000C0FF8" w:rsidP="000700F8">
      <w:pPr>
        <w:pStyle w:val="a5"/>
        <w:shd w:val="clear" w:color="auto" w:fill="FFFFFF"/>
        <w:spacing w:beforeAutospacing="0" w:afterAutospacing="0"/>
        <w:jc w:val="center"/>
        <w:rPr>
          <w:rFonts w:ascii="仿宋_GB2312" w:eastAsia="仿宋_GB2312" w:hint="eastAsia"/>
          <w:sz w:val="32"/>
          <w:szCs w:val="32"/>
        </w:rPr>
      </w:pPr>
      <w:r w:rsidRPr="002C7F24">
        <w:rPr>
          <w:rFonts w:ascii="仿宋_GB2312" w:eastAsia="仿宋_GB2312" w:hint="eastAsia"/>
          <w:sz w:val="32"/>
          <w:szCs w:val="32"/>
        </w:rPr>
        <w:t>（2025-05-23）</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近日，南昌市发布了《南昌市推进“人工智能+”行动2025年工作方案》(以下简称《方案》)，以“算力筑基、数据赋能、场景驱动”为核心，通过人工智能技术全面提升城市治理效能与服务水平，构建“数据开放共享、技术协同创新、场景深度融合、生态良性循环”的人工智能发展新生态，加快推进“人工智能+”行动计划，培育和发展新质生产力。</w:t>
      </w:r>
    </w:p>
    <w:p w:rsidR="000C0FF8"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方案》明确了人工智能在城市治理、民生服务、实体经济三大领域的17个应用场景建设方向，通过全面推进一系列场景应用实践，打造一批标杆示范项目，形成人工智能深度赋能各行各业的新格局。《方案》还提出：支持红谷滩区未来科学城建设人工智能应用孵化基地，为初创企业和技术团队提供优惠政策；推动产学研用联动，加强人才引进、联合培养与技术成果转化；定期发布人工智能应用场景机会清单和产品清单，搭建供需对接平台。</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（来源：江西日报）</w:t>
      </w:r>
    </w:p>
    <w:p w:rsidR="002C7F24" w:rsidRDefault="002C7F24" w:rsidP="000700F8">
      <w:pPr>
        <w:pStyle w:val="a5"/>
        <w:shd w:val="clear" w:color="auto" w:fill="FFFFFF"/>
        <w:spacing w:beforeAutospacing="0" w:afterAutospacing="0"/>
        <w:rPr>
          <w:rFonts w:ascii="仿宋_GB2312" w:eastAsia="仿宋_GB2312" w:hint="eastAsia"/>
          <w:sz w:val="32"/>
          <w:szCs w:val="32"/>
        </w:rPr>
      </w:pPr>
    </w:p>
    <w:p w:rsidR="000C0FF8" w:rsidRPr="000C0FF8" w:rsidRDefault="000C0FF8" w:rsidP="0081297A">
      <w:pPr>
        <w:pStyle w:val="a5"/>
        <w:shd w:val="clear" w:color="auto" w:fill="FFFFFF"/>
        <w:spacing w:beforeAutospacing="0" w:afterAutospacing="0" w:line="540" w:lineRule="exact"/>
        <w:jc w:val="center"/>
        <w:rPr>
          <w:rFonts w:ascii="方正小标宋简体" w:eastAsia="方正小标宋简体" w:hint="eastAsia"/>
          <w:sz w:val="44"/>
          <w:szCs w:val="44"/>
        </w:rPr>
      </w:pPr>
      <w:bookmarkStart w:id="11" w:name="OLE_LINK12"/>
      <w:bookmarkStart w:id="12" w:name="OLE_LINK13"/>
      <w:r w:rsidRPr="000C0FF8">
        <w:rPr>
          <w:rFonts w:ascii="方正小标宋简体" w:eastAsia="方正小标宋简体" w:hint="eastAsia"/>
          <w:sz w:val="44"/>
          <w:szCs w:val="44"/>
        </w:rPr>
        <w:t>8部门发文加快数智供应链发展</w:t>
      </w:r>
      <w:bookmarkEnd w:id="11"/>
      <w:bookmarkEnd w:id="12"/>
    </w:p>
    <w:p w:rsidR="000C0FF8" w:rsidRPr="002C7F24" w:rsidRDefault="000C0FF8" w:rsidP="0081297A">
      <w:pPr>
        <w:pStyle w:val="a5"/>
        <w:shd w:val="clear" w:color="auto" w:fill="FFFFFF"/>
        <w:spacing w:beforeAutospacing="0" w:afterAutospacing="0" w:line="540" w:lineRule="exact"/>
        <w:jc w:val="center"/>
        <w:rPr>
          <w:rFonts w:ascii="仿宋_GB2312" w:eastAsia="仿宋_GB2312" w:hint="eastAsia"/>
          <w:sz w:val="32"/>
          <w:szCs w:val="32"/>
        </w:rPr>
      </w:pPr>
      <w:r w:rsidRPr="002C7F24">
        <w:rPr>
          <w:rFonts w:ascii="仿宋_GB2312" w:eastAsia="仿宋_GB2312" w:hint="eastAsia"/>
          <w:sz w:val="32"/>
          <w:szCs w:val="32"/>
        </w:rPr>
        <w:t>（2025-05-26）</w:t>
      </w:r>
    </w:p>
    <w:p w:rsidR="000C0FF8" w:rsidRPr="002C7F24" w:rsidRDefault="000C0FF8" w:rsidP="0081297A">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新华社北京5月26日电  记者26日从商务部获悉，商务部、国家发展改革委等8部门近日联合印发《加快数智供应链发展专项行动计划》。</w:t>
      </w:r>
    </w:p>
    <w:p w:rsidR="000C0FF8" w:rsidRPr="002C7F24" w:rsidRDefault="000C0FF8" w:rsidP="0081297A">
      <w:pPr>
        <w:pStyle w:val="a5"/>
        <w:shd w:val="clear" w:color="auto" w:fill="FFFFFF"/>
        <w:spacing w:beforeAutospacing="0" w:afterAutospacing="0" w:line="540" w:lineRule="exact"/>
        <w:rPr>
          <w:rFonts w:ascii="仿宋_GB2312" w:eastAsia="仿宋_GB2312" w:hint="eastAsia"/>
          <w:sz w:val="32"/>
          <w:szCs w:val="32"/>
        </w:rPr>
      </w:pPr>
      <w:r w:rsidRPr="002C7F24">
        <w:rPr>
          <w:rFonts w:ascii="仿宋_GB2312" w:eastAsia="仿宋_GB2312" w:hint="eastAsia"/>
          <w:sz w:val="32"/>
          <w:szCs w:val="32"/>
        </w:rPr>
        <w:t xml:space="preserve">　　商务部流通发展司负责人介绍，行动计划聚焦5大重点领域，“一业一策”加快数智供应链发展。提升农业供应链组织水平，发展智慧农业，推动农村电商高质量发展。促进制造业供应链智能发展，协同打造一批智能工厂和智慧供应链，实施制造业数字化转型行动方案，开展人工智能赋能新型工业化专项行动。增强批发业供应链集成能力，为上下游客户和产业集群提供原料采购、仓储物流、产品营销、供应链金融、再生资源循环利用等综合服务。优化零售业供应链供给水平，支持零售企业采用数智技术整合全渠道信息，加快消费端信息向品牌商、制造商的反馈速度，引导开展“个性定制+柔性生产”，优化商品供给水平。推动降低全社会物流成本，促进物流与产业、贸易、消费融合发展，推广智能立体仓库、自动导引车、无人配送车等设施设备，支持贸港航一体化发展。</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这名负责人说，行动计划部署加快数智供应链发展的10项主要任务。包括培育数智供应链领军企业；推动供应链管理服务业数智化转型；加快数智供应链对外开放合作，支持与跨境电商、海外仓储物流协同发展；建设数智供应链控制塔，对供应链活动实现实时洞察、运行分析和智能响应；创新数智供应链底层技术，推进数智技术商业化应用；完善技术服务标准体系，推动一批契合产业和行业发展需要的标准制修订；探索推进供应链数据交易，不断强化企业数据资产属性；保障供应链数据流动安全，避免信息泄露；建立供应链协调推进机制；加强数智供应链人才培育，鼓励建立首席供应链官、首席数据官制度。</w:t>
      </w:r>
    </w:p>
    <w:p w:rsidR="000C0FF8"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行动计划提出，到2030年，形成可复制推广的数智供应链建设和发展模式，在重要产业和关键领域基本建立深度嵌入、智慧高效、自主可控的数智供应链体系，培育100家左右全国数智供应链领军企业。</w:t>
      </w:r>
    </w:p>
    <w:p w:rsidR="000C0FF8" w:rsidRDefault="000C0FF8" w:rsidP="000700F8">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（来源：新华网）</w:t>
      </w:r>
    </w:p>
    <w:p w:rsidR="000700F8" w:rsidRPr="002C7F24" w:rsidRDefault="000700F8" w:rsidP="000700F8">
      <w:pPr>
        <w:pStyle w:val="a5"/>
        <w:shd w:val="clear" w:color="auto" w:fill="FFFFFF"/>
        <w:spacing w:beforeAutospacing="0" w:afterAutospacing="0"/>
        <w:rPr>
          <w:rFonts w:ascii="仿宋_GB2312" w:eastAsia="仿宋_GB2312" w:hint="eastAsia"/>
          <w:sz w:val="32"/>
          <w:szCs w:val="32"/>
        </w:rPr>
      </w:pPr>
    </w:p>
    <w:p w:rsidR="000C0FF8" w:rsidRPr="000C0FF8" w:rsidRDefault="000C0FF8" w:rsidP="000700F8">
      <w:pPr>
        <w:pStyle w:val="a5"/>
        <w:shd w:val="clear" w:color="auto" w:fill="FFFFFF"/>
        <w:spacing w:beforeAutospacing="0" w:afterAutospacing="0"/>
        <w:jc w:val="center"/>
        <w:rPr>
          <w:rFonts w:ascii="方正小标宋简体" w:eastAsia="方正小标宋简体" w:hint="eastAsia"/>
          <w:sz w:val="44"/>
          <w:szCs w:val="44"/>
        </w:rPr>
      </w:pPr>
      <w:bookmarkStart w:id="13" w:name="OLE_LINK14"/>
      <w:bookmarkStart w:id="14" w:name="OLE_LINK15"/>
      <w:r w:rsidRPr="000C0FF8">
        <w:rPr>
          <w:rFonts w:ascii="方正小标宋简体" w:eastAsia="方正小标宋简体" w:hint="eastAsia"/>
          <w:sz w:val="44"/>
          <w:szCs w:val="44"/>
        </w:rPr>
        <w:t>世界首个星载实时操作系统标准审查通过</w:t>
      </w:r>
      <w:bookmarkEnd w:id="13"/>
      <w:bookmarkEnd w:id="14"/>
    </w:p>
    <w:p w:rsidR="000C0FF8" w:rsidRPr="002C7F24" w:rsidRDefault="000C0FF8" w:rsidP="000700F8">
      <w:pPr>
        <w:pStyle w:val="a5"/>
        <w:shd w:val="clear" w:color="auto" w:fill="FFFFFF"/>
        <w:spacing w:beforeAutospacing="0" w:afterAutospacing="0"/>
        <w:jc w:val="center"/>
        <w:rPr>
          <w:rFonts w:ascii="仿宋_GB2312" w:eastAsia="仿宋_GB2312" w:hint="eastAsia"/>
          <w:sz w:val="32"/>
          <w:szCs w:val="32"/>
        </w:rPr>
      </w:pPr>
      <w:r w:rsidRPr="002C7F24">
        <w:rPr>
          <w:rFonts w:ascii="仿宋_GB2312" w:eastAsia="仿宋_GB2312" w:hint="eastAsia"/>
          <w:sz w:val="32"/>
          <w:szCs w:val="32"/>
        </w:rPr>
        <w:t>（2025-05-23）</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科技日报讯  5月20日，宇航团体标准项目《基于开源鸿蒙轻量系统的星载实时操作系统通用要求》《基于开源鸿蒙轻量系统的星载实时操作系统开发实践》获中国宇航学会标准化分会审查通过。上述标准由大连理工大学于晓洲教授领衔的微纳卫星与深空探测团队牵头起草，中国科学院微小卫星技术创新研究院、清华大学、上海宇航系统工程研究所、星众空间（嘉兴）科技股份有限公司等单位的团队参与撰写。</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该标准提出了适用于微纳卫星的开源鸿蒙（OpenHarmony）轻量系统星载实时操作系统，解释各类术语定义，明确其源码获取、移植和裁剪的全流程操作规范，为星载实时操作系统开发提供了实践引导，为微纳卫星操作系统确立了统一标准。</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微纳卫星的星载计算机系统越来越复杂，但受平台规模的限制，无法使用常规操作系统。于晓洲团队在“大连1号—连理卫星”上首次成功应用基于国产芯片的高可靠性开源鸿蒙实时操作系统，实现了该领域的软硬件全国产化，为全球航天器操作系统提供了新的选择。</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“连理卫星任务实践表明，运行开源鸿蒙实时操作系统后，卫星的系统响应速度与可靠性大幅提高。”于晓洲说。</w:t>
      </w:r>
    </w:p>
    <w:p w:rsidR="000C0FF8" w:rsidRDefault="000C0FF8" w:rsidP="000700F8">
      <w:pPr>
        <w:pStyle w:val="a5"/>
        <w:shd w:val="clear" w:color="auto" w:fill="FFFFFF"/>
        <w:spacing w:beforeAutospacing="0" w:afterAutospacing="0"/>
        <w:rPr>
          <w:rFonts w:ascii="仿宋_GB2312" w:eastAsia="仿宋_GB2312" w:hint="eastAsia"/>
          <w:sz w:val="32"/>
          <w:szCs w:val="32"/>
        </w:rPr>
      </w:pPr>
      <w:r w:rsidRPr="002C7F24">
        <w:rPr>
          <w:rFonts w:ascii="仿宋_GB2312" w:eastAsia="仿宋_GB2312" w:hint="eastAsia"/>
          <w:sz w:val="32"/>
          <w:szCs w:val="32"/>
        </w:rPr>
        <w:t xml:space="preserve">　　目前，多个微纳卫星任务采用了基于开源鸿蒙轻量系统的星载实时操作系统，包括星众空间卫星、“金紫荆”系列卫星、爱太空科学号、航升卫星等。该操作系统在航天器上的应用丰富了其使用场景，实现了开源鸿蒙的“上天入地”。</w:t>
      </w:r>
    </w:p>
    <w:p w:rsidR="000C0FF8" w:rsidRPr="002C7F24" w:rsidRDefault="000C0FF8" w:rsidP="000700F8">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2C7F24">
        <w:rPr>
          <w:rFonts w:ascii="仿宋_GB2312" w:eastAsia="仿宋_GB2312" w:hint="eastAsia"/>
          <w:sz w:val="32"/>
          <w:szCs w:val="32"/>
        </w:rPr>
        <w:t>（来源：科技日报）</w:t>
      </w:r>
    </w:p>
    <w:p w:rsidR="000C0FF8" w:rsidRPr="002C7F24" w:rsidRDefault="000C0FF8" w:rsidP="000700F8">
      <w:pPr>
        <w:pStyle w:val="a5"/>
        <w:shd w:val="clear" w:color="auto" w:fill="FFFFFF"/>
        <w:spacing w:beforeAutospacing="0" w:afterAutospacing="0"/>
        <w:rPr>
          <w:rFonts w:ascii="仿宋_GB2312" w:eastAsia="仿宋_GB2312"/>
          <w:sz w:val="32"/>
          <w:szCs w:val="32"/>
        </w:rPr>
      </w:pPr>
    </w:p>
    <w:p w:rsidR="000700F8" w:rsidRPr="000700F8" w:rsidRDefault="000700F8" w:rsidP="000700F8">
      <w:pPr>
        <w:pStyle w:val="a5"/>
        <w:shd w:val="clear" w:color="auto" w:fill="FFFFFF"/>
        <w:spacing w:beforeAutospacing="0" w:afterAutospacing="0"/>
        <w:jc w:val="center"/>
        <w:rPr>
          <w:rFonts w:ascii="方正小标宋简体" w:eastAsia="方正小标宋简体" w:hint="eastAsia"/>
          <w:sz w:val="44"/>
          <w:szCs w:val="44"/>
        </w:rPr>
      </w:pPr>
      <w:bookmarkStart w:id="15" w:name="OLE_LINK16"/>
      <w:bookmarkStart w:id="16" w:name="OLE_LINK17"/>
      <w:r w:rsidRPr="000700F8">
        <w:rPr>
          <w:rFonts w:ascii="方正小标宋简体" w:eastAsia="方正小标宋简体" w:hint="eastAsia"/>
          <w:sz w:val="44"/>
          <w:szCs w:val="44"/>
        </w:rPr>
        <w:t>法国让·扎伊超级计算机完成第四次扩展</w:t>
      </w:r>
      <w:bookmarkEnd w:id="15"/>
      <w:bookmarkEnd w:id="16"/>
    </w:p>
    <w:p w:rsidR="000700F8" w:rsidRPr="000700F8" w:rsidRDefault="000700F8" w:rsidP="0081297A">
      <w:pPr>
        <w:pStyle w:val="a5"/>
        <w:shd w:val="clear" w:color="auto" w:fill="FFFFFF"/>
        <w:spacing w:beforeAutospacing="0" w:afterAutospacing="0" w:line="540" w:lineRule="exact"/>
        <w:jc w:val="center"/>
        <w:rPr>
          <w:rFonts w:ascii="仿宋_GB2312" w:eastAsia="仿宋_GB2312" w:hint="eastAsia"/>
          <w:sz w:val="32"/>
          <w:szCs w:val="32"/>
        </w:rPr>
      </w:pPr>
      <w:r w:rsidRPr="000700F8">
        <w:rPr>
          <w:rFonts w:ascii="仿宋_GB2312" w:eastAsia="仿宋_GB2312" w:hint="eastAsia"/>
          <w:sz w:val="32"/>
          <w:szCs w:val="32"/>
        </w:rPr>
        <w:t>（2025-05-22）</w:t>
      </w:r>
    </w:p>
    <w:p w:rsidR="000700F8" w:rsidRPr="000700F8" w:rsidRDefault="000700F8" w:rsidP="0081297A">
      <w:pPr>
        <w:pStyle w:val="a5"/>
        <w:shd w:val="clear" w:color="auto" w:fill="FFFFFF"/>
        <w:spacing w:beforeAutospacing="0" w:afterAutospacing="0" w:line="540" w:lineRule="exact"/>
        <w:rPr>
          <w:rFonts w:ascii="仿宋_GB2312" w:eastAsia="仿宋_GB2312" w:hint="eastAsia"/>
          <w:sz w:val="32"/>
          <w:szCs w:val="32"/>
        </w:rPr>
      </w:pPr>
      <w:r w:rsidRPr="000700F8">
        <w:rPr>
          <w:rFonts w:ascii="仿宋_GB2312" w:eastAsia="仿宋_GB2312" w:hint="eastAsia"/>
          <w:sz w:val="32"/>
          <w:szCs w:val="32"/>
        </w:rPr>
        <w:t xml:space="preserve">　　法国国家科学研究中心官网近日发布消息说，法国让·扎伊超级计算机已完成第四次扩展，计算能力提升4倍，使其成为法国乃至欧洲人工智能领域最强大且使用最广泛的超级计算机之一。</w:t>
      </w:r>
    </w:p>
    <w:p w:rsidR="000700F8" w:rsidRPr="000700F8" w:rsidRDefault="000700F8" w:rsidP="000700F8">
      <w:pPr>
        <w:pStyle w:val="a5"/>
        <w:shd w:val="clear" w:color="auto" w:fill="FFFFFF"/>
        <w:spacing w:beforeAutospacing="0" w:afterAutospacing="0"/>
        <w:rPr>
          <w:rFonts w:ascii="仿宋_GB2312" w:eastAsia="仿宋_GB2312" w:hint="eastAsia"/>
          <w:sz w:val="32"/>
          <w:szCs w:val="32"/>
        </w:rPr>
      </w:pPr>
      <w:r w:rsidRPr="000700F8">
        <w:rPr>
          <w:rFonts w:ascii="仿宋_GB2312" w:eastAsia="仿宋_GB2312" w:hint="eastAsia"/>
          <w:sz w:val="32"/>
          <w:szCs w:val="32"/>
        </w:rPr>
        <w:t xml:space="preserve">　　据介绍，完成第四次扩展后的让·扎伊超级计算机每秒可进行125.9千万亿次运算，其存储容量也增至约100拍字节（1拍字节为10的15次方字节）的数量级。</w:t>
      </w:r>
    </w:p>
    <w:p w:rsidR="000700F8" w:rsidRPr="000700F8" w:rsidRDefault="000700F8" w:rsidP="000700F8">
      <w:pPr>
        <w:pStyle w:val="a5"/>
        <w:shd w:val="clear" w:color="auto" w:fill="FFFFFF"/>
        <w:spacing w:beforeAutospacing="0" w:afterAutospacing="0"/>
        <w:rPr>
          <w:rFonts w:ascii="仿宋_GB2312" w:eastAsia="仿宋_GB2312" w:hint="eastAsia"/>
          <w:sz w:val="32"/>
          <w:szCs w:val="32"/>
        </w:rPr>
      </w:pPr>
      <w:r w:rsidRPr="000700F8">
        <w:rPr>
          <w:rFonts w:ascii="仿宋_GB2312" w:eastAsia="仿宋_GB2312" w:hint="eastAsia"/>
          <w:sz w:val="32"/>
          <w:szCs w:val="32"/>
        </w:rPr>
        <w:t xml:space="preserve">　　在开放科研框架下，数以千计的项目将免费使用该超级计算机，包括自然语言处理、多模态计算、生物医学研究等领域。让·扎伊超级计算机也将成为未来“法国AI（人工智能）工厂”项目的关键组成部分。该项目旨在为法国及欧洲的AI发展提供支持。</w:t>
      </w:r>
    </w:p>
    <w:p w:rsidR="000700F8" w:rsidRPr="000700F8" w:rsidRDefault="000700F8" w:rsidP="000700F8">
      <w:pPr>
        <w:pStyle w:val="a5"/>
        <w:shd w:val="clear" w:color="auto" w:fill="FFFFFF"/>
        <w:spacing w:beforeAutospacing="0" w:afterAutospacing="0"/>
        <w:rPr>
          <w:rFonts w:ascii="仿宋_GB2312" w:eastAsia="仿宋_GB2312" w:hint="eastAsia"/>
          <w:sz w:val="32"/>
          <w:szCs w:val="32"/>
        </w:rPr>
      </w:pPr>
      <w:r w:rsidRPr="000700F8">
        <w:rPr>
          <w:rFonts w:ascii="仿宋_GB2312" w:eastAsia="仿宋_GB2312" w:hint="eastAsia"/>
          <w:sz w:val="32"/>
          <w:szCs w:val="32"/>
        </w:rPr>
        <w:t xml:space="preserve">　　“我为启用让·扎伊（超级计算机）的新扩展感到自豪。法国需要这台在最新AI进展方面处于前沿的创新机器，以应对重大科学挑战。”法国国家科学研究中心首席执行官安托万·珀蒂说。</w:t>
      </w:r>
    </w:p>
    <w:p w:rsidR="000700F8" w:rsidRDefault="000700F8" w:rsidP="000700F8">
      <w:pPr>
        <w:pStyle w:val="a5"/>
        <w:shd w:val="clear" w:color="auto" w:fill="FFFFFF"/>
        <w:spacing w:beforeAutospacing="0" w:afterAutospacing="0"/>
        <w:rPr>
          <w:rFonts w:ascii="仿宋_GB2312" w:eastAsia="仿宋_GB2312" w:hint="eastAsia"/>
          <w:sz w:val="32"/>
          <w:szCs w:val="32"/>
        </w:rPr>
      </w:pPr>
      <w:r w:rsidRPr="000700F8">
        <w:rPr>
          <w:rFonts w:ascii="仿宋_GB2312" w:eastAsia="仿宋_GB2312" w:hint="eastAsia"/>
          <w:sz w:val="32"/>
          <w:szCs w:val="32"/>
        </w:rPr>
        <w:t xml:space="preserve">　　让·扎伊超级计算机2019年投入使用，由法国国家科学研究中心旗下机构负责运行。为满足人工智能不断增长的算力需求，此后不断进行扩展以提升其性能。</w:t>
      </w:r>
    </w:p>
    <w:p w:rsidR="002C7F24" w:rsidRPr="002C7F24" w:rsidRDefault="000700F8" w:rsidP="000700F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0700F8">
        <w:rPr>
          <w:rFonts w:ascii="仿宋_GB2312" w:eastAsia="仿宋_GB2312" w:hint="eastAsia"/>
          <w:sz w:val="32"/>
          <w:szCs w:val="32"/>
        </w:rPr>
        <w:t>（来源：人民邮电报）</w:t>
      </w:r>
    </w:p>
    <w:p w:rsidR="002C7F24" w:rsidRPr="002C7F24" w:rsidRDefault="002C7F24" w:rsidP="002C7F24">
      <w:pPr>
        <w:pStyle w:val="a5"/>
        <w:shd w:val="clear" w:color="auto" w:fill="FFFFFF"/>
        <w:spacing w:beforeAutospacing="0" w:afterAutospacing="0" w:line="600" w:lineRule="exact"/>
        <w:rPr>
          <w:rFonts w:ascii="仿宋_GB2312" w:eastAsia="仿宋_GB2312"/>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770C16" w:rsidP="0057220B">
      <w:pPr>
        <w:pStyle w:val="a5"/>
        <w:shd w:val="clear" w:color="auto" w:fill="FFFFFF"/>
        <w:spacing w:beforeAutospacing="0" w:afterAutospacing="0" w:line="520" w:lineRule="exact"/>
        <w:jc w:val="both"/>
      </w:pPr>
      <w:r w:rsidRPr="00770C16">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17" w:name="_GoBack"/>
      <w:bookmarkEnd w:id="17"/>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EB" w:rsidRDefault="00405BEB">
      <w:pPr>
        <w:spacing w:line="240" w:lineRule="auto"/>
      </w:pPr>
      <w:r>
        <w:separator/>
      </w:r>
    </w:p>
  </w:endnote>
  <w:endnote w:type="continuationSeparator" w:id="0">
    <w:p w:rsidR="00405BEB" w:rsidRDefault="00405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70C16">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70C16">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05BEB">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70C16">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EB" w:rsidRDefault="00405BEB">
      <w:pPr>
        <w:spacing w:line="240" w:lineRule="auto"/>
      </w:pPr>
      <w:r>
        <w:separator/>
      </w:r>
    </w:p>
  </w:footnote>
  <w:footnote w:type="continuationSeparator" w:id="0">
    <w:p w:rsidR="00405BEB" w:rsidRDefault="00405BE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5852"/>
    <w:rsid w:val="00076573"/>
    <w:rsid w:val="00080018"/>
    <w:rsid w:val="00080D27"/>
    <w:rsid w:val="000876BF"/>
    <w:rsid w:val="0009686E"/>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3F18"/>
    <w:rsid w:val="002266E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2FF2"/>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26BEE"/>
    <w:rsid w:val="00730D4A"/>
    <w:rsid w:val="0073614B"/>
    <w:rsid w:val="00742215"/>
    <w:rsid w:val="007527CE"/>
    <w:rsid w:val="0075407B"/>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2EB1"/>
    <w:rsid w:val="009440C6"/>
    <w:rsid w:val="00947E85"/>
    <w:rsid w:val="0095392B"/>
    <w:rsid w:val="009629C0"/>
    <w:rsid w:val="00963546"/>
    <w:rsid w:val="00965A88"/>
    <w:rsid w:val="00977ADC"/>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56A4"/>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E73AA"/>
    <w:rsid w:val="00DF2DDB"/>
    <w:rsid w:val="00E02F76"/>
    <w:rsid w:val="00E137F8"/>
    <w:rsid w:val="00E15705"/>
    <w:rsid w:val="00E23B0C"/>
    <w:rsid w:val="00E2423D"/>
    <w:rsid w:val="00E24506"/>
    <w:rsid w:val="00E30E00"/>
    <w:rsid w:val="00E314DE"/>
    <w:rsid w:val="00E355FD"/>
    <w:rsid w:val="00E35E76"/>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2025-04-10T07:06:00Z</cp:lastPrinted>
  <dcterms:created xsi:type="dcterms:W3CDTF">2025-05-29T06:27:00Z</dcterms:created>
  <dcterms:modified xsi:type="dcterms:W3CDTF">2025-05-29T07:06:00Z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