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864300">
        <w:rPr>
          <w:rFonts w:ascii="仿宋_GB2312" w:eastAsia="仿宋_GB2312" w:hAnsi="Gungsuh" w:hint="eastAsia"/>
          <w:b/>
          <w:sz w:val="36"/>
          <w:szCs w:val="44"/>
        </w:rPr>
        <w:t>3</w:t>
      </w:r>
      <w:r w:rsidR="00B5320C">
        <w:rPr>
          <w:rFonts w:ascii="仿宋_GB2312" w:eastAsia="仿宋_GB2312" w:hAnsi="Gungsuh" w:hint="eastAsia"/>
          <w:b/>
          <w:sz w:val="36"/>
          <w:szCs w:val="44"/>
        </w:rPr>
        <w:t>9</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w:t>
      </w:r>
      <w:r w:rsidR="00197F47">
        <w:rPr>
          <w:rFonts w:ascii="仿宋_GB2312" w:eastAsia="仿宋_GB2312" w:hAnsi="宋体" w:hint="eastAsia"/>
          <w:b/>
          <w:sz w:val="36"/>
          <w:szCs w:val="44"/>
        </w:rPr>
        <w:t>3</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10</w:t>
      </w:r>
      <w:r w:rsidR="00C32995">
        <w:rPr>
          <w:rFonts w:ascii="仿宋_GB2312" w:eastAsia="仿宋_GB2312" w:hAnsi="Gungsuh" w:hint="eastAsia"/>
          <w:b/>
          <w:sz w:val="32"/>
          <w:szCs w:val="32"/>
        </w:rPr>
        <w:t>月</w:t>
      </w:r>
      <w:r w:rsidR="009F782B">
        <w:rPr>
          <w:rFonts w:ascii="仿宋_GB2312" w:eastAsia="仿宋_GB2312" w:hAnsi="Gungsuh" w:hint="eastAsia"/>
          <w:b/>
          <w:sz w:val="32"/>
          <w:szCs w:val="32"/>
        </w:rPr>
        <w:t>1</w:t>
      </w:r>
      <w:r w:rsidR="00B5320C">
        <w:rPr>
          <w:rFonts w:ascii="仿宋_GB2312" w:eastAsia="仿宋_GB2312" w:hAnsi="Gungsuh" w:hint="eastAsia"/>
          <w:b/>
          <w:sz w:val="32"/>
          <w:szCs w:val="32"/>
        </w:rPr>
        <w:t>7</w:t>
      </w:r>
      <w:r w:rsidR="00C32995">
        <w:rPr>
          <w:rFonts w:ascii="仿宋_GB2312" w:eastAsia="仿宋_GB2312" w:hAnsi="Gungsuh" w:hint="eastAsia"/>
          <w:b/>
          <w:sz w:val="32"/>
          <w:szCs w:val="32"/>
        </w:rPr>
        <w:t>日</w:t>
      </w:r>
    </w:p>
    <w:p w:rsidR="004D0412" w:rsidRDefault="00543725">
      <w:pPr>
        <w:spacing w:line="400" w:lineRule="exact"/>
        <w:rPr>
          <w:rFonts w:ascii="仿宋_GB2312" w:eastAsia="仿宋_GB2312" w:hAnsi="Gungsuh"/>
          <w:b/>
          <w:sz w:val="32"/>
          <w:szCs w:val="32"/>
        </w:rPr>
      </w:pPr>
      <w:r w:rsidRPr="00543725">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06D63" w:rsidRPr="00F06D63">
        <w:rPr>
          <w:rFonts w:ascii="仿宋_GB2312" w:hint="eastAsia"/>
          <w:b/>
          <w:bCs/>
          <w:sz w:val="32"/>
          <w:szCs w:val="32"/>
        </w:rPr>
        <w:t>全国首单交通领域亿元级数据知识产权质押贷款落地</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06D63" w:rsidRPr="00F06D63">
        <w:rPr>
          <w:rFonts w:ascii="仿宋_GB2312" w:hint="eastAsia"/>
          <w:b/>
          <w:bCs/>
          <w:sz w:val="32"/>
          <w:szCs w:val="32"/>
        </w:rPr>
        <w:t>数据宝获“数据要素×交通运输”领域全国大奖</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06D63" w:rsidRPr="00F06D63">
        <w:rPr>
          <w:rFonts w:ascii="仿宋_GB2312" w:hint="eastAsia"/>
          <w:b/>
          <w:bCs/>
          <w:sz w:val="32"/>
          <w:szCs w:val="32"/>
        </w:rPr>
        <w:t>首届林草科学数据大会在都匀召开</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06D63" w:rsidRPr="00F06D63">
        <w:rPr>
          <w:rFonts w:ascii="仿宋_GB2312" w:hint="eastAsia"/>
          <w:b/>
          <w:bCs/>
          <w:sz w:val="32"/>
          <w:szCs w:val="32"/>
        </w:rPr>
        <w:t>七部门印发“人工智能+交通运输”实施意见</w:t>
      </w:r>
    </w:p>
    <w:p w:rsidR="007B7840"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06D63" w:rsidRPr="00F06D63">
        <w:rPr>
          <w:rFonts w:ascii="仿宋_GB2312" w:hint="eastAsia"/>
          <w:b/>
          <w:bCs/>
          <w:sz w:val="32"/>
          <w:szCs w:val="32"/>
        </w:rPr>
        <w:t>上海：到2027年智能终端产业总体规模突破3000亿元</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24BB8" w:rsidRPr="00524BB8">
        <w:rPr>
          <w:rFonts w:ascii="仿宋_GB2312" w:hint="eastAsia"/>
          <w:b/>
          <w:bCs/>
          <w:sz w:val="32"/>
          <w:szCs w:val="32"/>
        </w:rPr>
        <w:t>河北省加快推动可信数据空间建设</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24BB8" w:rsidRPr="00524BB8">
        <w:rPr>
          <w:rFonts w:ascii="仿宋_GB2312" w:hint="eastAsia"/>
          <w:b/>
          <w:bCs/>
          <w:sz w:val="32"/>
          <w:szCs w:val="32"/>
        </w:rPr>
        <w:t>新型芯片算力可超顶级GPU千倍</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24BB8" w:rsidRPr="00524BB8">
        <w:rPr>
          <w:rFonts w:ascii="仿宋_GB2312" w:hint="eastAsia"/>
          <w:b/>
          <w:bCs/>
          <w:sz w:val="32"/>
          <w:szCs w:val="32"/>
        </w:rPr>
        <w:t>OpenAI官宣自研AI芯片</w:t>
      </w:r>
    </w:p>
    <w:p w:rsidR="004D0412" w:rsidRPr="00524BB8" w:rsidRDefault="004D0412" w:rsidP="004A4EBB">
      <w:pPr>
        <w:pStyle w:val="2"/>
        <w:spacing w:after="0" w:line="16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524BB8" w:rsidRPr="00524BB8">
        <w:rPr>
          <w:rFonts w:ascii="仿宋_GB2312" w:hint="eastAsia"/>
          <w:b/>
          <w:bCs/>
          <w:sz w:val="32"/>
          <w:szCs w:val="32"/>
        </w:rPr>
        <w:t>“星际之门”项目将在美新建5个AI数据中心</w:t>
      </w:r>
    </w:p>
    <w:p w:rsidR="00A549C9" w:rsidRDefault="00A549C9" w:rsidP="001A5019">
      <w:pPr>
        <w:pStyle w:val="2"/>
        <w:spacing w:line="460" w:lineRule="exact"/>
        <w:ind w:leftChars="0" w:left="0" w:firstLineChars="0" w:firstLine="0"/>
        <w:jc w:val="left"/>
        <w:rPr>
          <w:rFonts w:ascii="仿宋_GB2312"/>
          <w:b/>
          <w:bCs/>
          <w:sz w:val="32"/>
          <w:szCs w:val="32"/>
        </w:rPr>
      </w:pPr>
    </w:p>
    <w:p w:rsidR="00197F47" w:rsidRDefault="00197F47" w:rsidP="00197F47">
      <w:pPr>
        <w:pStyle w:val="a5"/>
        <w:shd w:val="clear" w:color="auto" w:fill="FFFFFF"/>
        <w:spacing w:beforeAutospacing="0" w:afterAutospacing="0" w:line="640" w:lineRule="exact"/>
        <w:jc w:val="center"/>
        <w:rPr>
          <w:rFonts w:ascii="方正小标宋简体" w:eastAsia="方正小标宋简体"/>
          <w:sz w:val="44"/>
          <w:szCs w:val="44"/>
        </w:rPr>
      </w:pPr>
      <w:r w:rsidRPr="00197F47">
        <w:rPr>
          <w:rFonts w:ascii="方正小标宋简体" w:eastAsia="方正小标宋简体" w:hint="eastAsia"/>
          <w:sz w:val="44"/>
          <w:szCs w:val="44"/>
        </w:rPr>
        <w:lastRenderedPageBreak/>
        <w:t>全国首单交通领域亿元级数据知识</w:t>
      </w:r>
    </w:p>
    <w:p w:rsidR="00197F47" w:rsidRPr="00197F47" w:rsidRDefault="00197F47" w:rsidP="00197F47">
      <w:pPr>
        <w:pStyle w:val="a5"/>
        <w:shd w:val="clear" w:color="auto" w:fill="FFFFFF"/>
        <w:spacing w:beforeAutospacing="0" w:afterAutospacing="0" w:line="640" w:lineRule="exact"/>
        <w:jc w:val="center"/>
        <w:rPr>
          <w:rFonts w:ascii="方正小标宋简体" w:eastAsia="方正小标宋简体"/>
          <w:sz w:val="44"/>
          <w:szCs w:val="44"/>
        </w:rPr>
      </w:pPr>
      <w:r w:rsidRPr="00197F47">
        <w:rPr>
          <w:rFonts w:ascii="方正小标宋简体" w:eastAsia="方正小标宋简体" w:hint="eastAsia"/>
          <w:sz w:val="44"/>
          <w:szCs w:val="44"/>
        </w:rPr>
        <w:t>产权质押贷款落地</w:t>
      </w:r>
    </w:p>
    <w:p w:rsidR="00197F47" w:rsidRPr="00197F47" w:rsidRDefault="00197F47" w:rsidP="00197F47">
      <w:pPr>
        <w:pStyle w:val="a5"/>
        <w:shd w:val="clear" w:color="auto" w:fill="FFFFFF"/>
        <w:spacing w:beforeAutospacing="0" w:afterAutospacing="0"/>
        <w:jc w:val="center"/>
        <w:rPr>
          <w:rFonts w:ascii="仿宋_GB2312" w:eastAsia="仿宋_GB2312"/>
          <w:sz w:val="32"/>
          <w:szCs w:val="32"/>
        </w:rPr>
      </w:pPr>
      <w:r w:rsidRPr="00197F47">
        <w:rPr>
          <w:rFonts w:ascii="仿宋_GB2312" w:eastAsia="仿宋_GB2312" w:hint="eastAsia"/>
          <w:sz w:val="32"/>
          <w:szCs w:val="32"/>
        </w:rPr>
        <w:t>（2025-10-13）</w:t>
      </w:r>
    </w:p>
    <w:p w:rsidR="00197F47" w:rsidRPr="00197F47" w:rsidRDefault="00197F47" w:rsidP="00197F47">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记者从省委金融办获悉，近日，建行贵州贵阳城北支行向贵州高速公路集团有限公司发放1亿元数据知识产权质押贷款。此次贷款以贵州高速集团拥有的“桥梁健康监测数据集”“隧道数字孪生仿真应用模型”等4件核心数据知识产权为质押物，创下贵州省数据知识产权质押贷款金额最高纪录，为全国交通行业数据要素市场化配置与金融服务创新融合提供了“样板”。</w:t>
      </w:r>
    </w:p>
    <w:p w:rsidR="00197F47" w:rsidRPr="00197F47" w:rsidRDefault="00197F47" w:rsidP="00197F47">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建行贵州贵阳城北支行深度聚焦交通领域数据要素价值转化需求，主动对接贵州省知识产权局、贵州省交通运输厅的试点工作部署，全程参与贵州高速集团数据资产“资源化—资产化—资本化”的递进实践。针对数据权责分散、动态价值评估等行业共性难题，积极联动专业机构，结合企业构建的“三级权责体系 五步入表法”标准框架，精准完成数据资产入表核验与数据知识产权价值评估，为贷款投放提供了科学、合规的价值依据，助力企业成功实现数据知识产权的金融价值落地。</w:t>
      </w:r>
    </w:p>
    <w:p w:rsidR="00197F47" w:rsidRDefault="00197F47" w:rsidP="00197F47">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建行贵州省分行相关负责人表示，作为服务地方数字经济发展的金融主力军，建行贵州贵阳城北支行始终紧跟贵州省数据知识产权地方试点步伐，依托贵州省知识产权公共惠企项目，围绕数据知识产权培育、评估、审计、合规等关键环节，为交通运输领域企业打造“定制化+跟踪式”金融服务模式，持续为数据要素市场化注入金融动能。</w:t>
      </w:r>
    </w:p>
    <w:p w:rsidR="00197F47" w:rsidRPr="00197F47" w:rsidRDefault="00197F47" w:rsidP="00197F47">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197F47">
        <w:rPr>
          <w:rFonts w:ascii="仿宋_GB2312" w:eastAsia="仿宋_GB2312" w:hint="eastAsia"/>
          <w:sz w:val="32"/>
          <w:szCs w:val="32"/>
        </w:rPr>
        <w:t>（来源：贵州日报）</w:t>
      </w:r>
    </w:p>
    <w:p w:rsidR="00197F47" w:rsidRDefault="00197F47" w:rsidP="00007AEF">
      <w:pPr>
        <w:pStyle w:val="a5"/>
        <w:shd w:val="clear" w:color="auto" w:fill="FFFFFF"/>
        <w:spacing w:beforeAutospacing="0" w:afterAutospacing="0" w:line="640" w:lineRule="exact"/>
        <w:jc w:val="center"/>
        <w:rPr>
          <w:rFonts w:ascii="方正小标宋简体" w:eastAsia="方正小标宋简体"/>
          <w:sz w:val="44"/>
          <w:szCs w:val="44"/>
        </w:rPr>
      </w:pPr>
      <w:r w:rsidRPr="00197F47">
        <w:rPr>
          <w:rFonts w:ascii="方正小标宋简体" w:eastAsia="方正小标宋简体" w:hint="eastAsia"/>
          <w:sz w:val="44"/>
          <w:szCs w:val="44"/>
        </w:rPr>
        <w:t>数据宝获“数据要素×交通运输”</w:t>
      </w:r>
    </w:p>
    <w:p w:rsidR="00197F47" w:rsidRPr="00197F47" w:rsidRDefault="00197F47" w:rsidP="00007AEF">
      <w:pPr>
        <w:pStyle w:val="a5"/>
        <w:shd w:val="clear" w:color="auto" w:fill="FFFFFF"/>
        <w:spacing w:beforeAutospacing="0" w:afterAutospacing="0" w:line="640" w:lineRule="exact"/>
        <w:jc w:val="center"/>
        <w:rPr>
          <w:rFonts w:ascii="方正小标宋简体" w:eastAsia="方正小标宋简体"/>
          <w:sz w:val="44"/>
          <w:szCs w:val="44"/>
        </w:rPr>
      </w:pPr>
      <w:r w:rsidRPr="00197F47">
        <w:rPr>
          <w:rFonts w:ascii="方正小标宋简体" w:eastAsia="方正小标宋简体" w:hint="eastAsia"/>
          <w:sz w:val="44"/>
          <w:szCs w:val="44"/>
        </w:rPr>
        <w:t>领域全国大奖</w:t>
      </w:r>
    </w:p>
    <w:p w:rsidR="00197F47" w:rsidRPr="00197F47" w:rsidRDefault="00197F47" w:rsidP="00007AEF">
      <w:pPr>
        <w:pStyle w:val="a5"/>
        <w:shd w:val="clear" w:color="auto" w:fill="FFFFFF"/>
        <w:spacing w:beforeAutospacing="0" w:afterAutospacing="0" w:line="520" w:lineRule="exact"/>
        <w:jc w:val="center"/>
        <w:rPr>
          <w:rFonts w:ascii="仿宋_GB2312" w:eastAsia="仿宋_GB2312"/>
          <w:sz w:val="32"/>
          <w:szCs w:val="32"/>
        </w:rPr>
      </w:pPr>
      <w:r w:rsidRPr="00197F47">
        <w:rPr>
          <w:rFonts w:ascii="仿宋_GB2312" w:eastAsia="仿宋_GB2312" w:hint="eastAsia"/>
          <w:sz w:val="32"/>
          <w:szCs w:val="32"/>
        </w:rPr>
        <w:t>（2025-10-15）</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近日，2025中国物流与采购联合会“数据要素×”交通运输解决方案大赛全国总决赛在上海落幕，贵安新区企业数据宝凭借“基于多元数据融合的货车智能调度解决方案”，从全国众多顶尖企业及创新团队中脱颖而出，获大赛二等奖。</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我国公路货运行业长期受“信息孤岛、资源匹配低效、空驶率居高不下”等问题制约，影响行业效率提升与转型升级。针对此痛点，数据宝依托数据融合与智能算法领域积累，聚焦长途干线运输应急调度与同业协作增效场景，构建多元数据融合智能调度体系，并实现多重突破，填补了中小物流企业在智能调度与风险管理方面的能力空白，有效推动行业从“经验驱动”向“数据驱动”加速转型。</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目前，该解决方案核心功能模块已完成开发并具备商业化应用条件。其中，“智能车货匹配”服务基于频繁历史路线挖掘，已封装为标准API接口，可根据订单起点与终点快速筛选最优车辆，提升资源匹配效率；“动态路径规划”模块针对危险品运输等特殊场景，能结合车辆参数、货物属性及实时环境数据，自动规避禁区并生成合规最优路线，保障运输安全合规。经评估，该方案可有效帮助物流企业降低空驶率、提升调度效率，实现“降本、增效、避险”多元价值。</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此次获奖，既是对数据宝在数据要素与交通运输融合领域技术实力的权威认可，更标志着我国国有数据赋能物流行业数字化转型迈出坚实步伐，为行业高质量发展提供可复制、可推广的示范路径。</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数据宝相关负责人介绍，数据宝目前已构建全国规模领先的国有数据资源网络，链接（代运营）50余家部委厅局国央企数据、9家省级平台公司数据及众多省市国央企数据，整合车辆、运政、金融等全量国有大数据资源，并围绕“人、车、企”三大维度形成多套成熟行业产品与解决方案，为方案研发与落地提供坚实支撑。</w:t>
      </w:r>
    </w:p>
    <w:p w:rsid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未来，数据宝将持续深化数据要素在交通运输领域的创新应用，并充分发挥国有数据运营与平台化优势，推动项目成果在全国规模化落地，打造数据要素赋能交通运输的标杆案例。</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Pr>
          <w:rFonts w:ascii="仿宋_GB2312" w:eastAsia="仿宋_GB2312" w:hint="eastAsia"/>
          <w:sz w:val="32"/>
          <w:szCs w:val="32"/>
        </w:rPr>
        <w:t xml:space="preserve">                                   </w:t>
      </w:r>
      <w:r w:rsidRPr="00197F47">
        <w:rPr>
          <w:rFonts w:ascii="仿宋_GB2312" w:eastAsia="仿宋_GB2312" w:hint="eastAsia"/>
          <w:sz w:val="32"/>
          <w:szCs w:val="32"/>
        </w:rPr>
        <w:t>（来源：贵阳日报）</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p>
    <w:p w:rsidR="00197F47" w:rsidRPr="00197F47" w:rsidRDefault="00197F47" w:rsidP="00007AEF">
      <w:pPr>
        <w:pStyle w:val="a5"/>
        <w:shd w:val="clear" w:color="auto" w:fill="FFFFFF"/>
        <w:spacing w:beforeAutospacing="0" w:afterAutospacing="0" w:line="520" w:lineRule="exact"/>
        <w:jc w:val="center"/>
        <w:rPr>
          <w:rFonts w:ascii="方正小标宋简体" w:eastAsia="方正小标宋简体"/>
          <w:sz w:val="44"/>
          <w:szCs w:val="44"/>
        </w:rPr>
      </w:pPr>
      <w:r w:rsidRPr="00197F47">
        <w:rPr>
          <w:rFonts w:ascii="方正小标宋简体" w:eastAsia="方正小标宋简体" w:hint="eastAsia"/>
          <w:sz w:val="44"/>
          <w:szCs w:val="44"/>
        </w:rPr>
        <w:t>首届林草科学数据大会在都匀召开</w:t>
      </w:r>
    </w:p>
    <w:p w:rsidR="00197F47" w:rsidRPr="00197F47" w:rsidRDefault="00197F47" w:rsidP="00007AEF">
      <w:pPr>
        <w:pStyle w:val="a5"/>
        <w:shd w:val="clear" w:color="auto" w:fill="FFFFFF"/>
        <w:spacing w:beforeAutospacing="0" w:afterAutospacing="0" w:line="520" w:lineRule="exact"/>
        <w:jc w:val="center"/>
        <w:rPr>
          <w:rFonts w:ascii="仿宋_GB2312" w:eastAsia="仿宋_GB2312"/>
          <w:sz w:val="32"/>
          <w:szCs w:val="32"/>
        </w:rPr>
      </w:pPr>
      <w:r w:rsidRPr="00197F47">
        <w:rPr>
          <w:rFonts w:ascii="仿宋_GB2312" w:eastAsia="仿宋_GB2312" w:hint="eastAsia"/>
          <w:sz w:val="32"/>
          <w:szCs w:val="32"/>
        </w:rPr>
        <w:t>（2025-10-16）</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10月12日，首届林草科学数据大会暨国家林业和草原科学数据中心2025年度工作会议在黔南州都匀市召开。</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本次大会以“数智赋能林草高质量发展”为主题，汇聚了来自林业部门、高校、科研院所以及相关企事业单位的200余位专家代表，共同探讨人工智能时代林草科学数据的发展新路径，推动林草科学数据开放共享与创新应用。除主会场外，大会还设有3个分会场，共发布35场高水平的学术报告。</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大会期间，国家林业和草原科学数据中心发布了首批开放基金资助项目</w:t>
      </w:r>
      <w:r>
        <w:rPr>
          <w:rFonts w:ascii="仿宋_GB2312" w:eastAsia="仿宋_GB2312" w:hint="eastAsia"/>
          <w:sz w:val="32"/>
          <w:szCs w:val="32"/>
        </w:rPr>
        <w:t>,</w:t>
      </w:r>
      <w:r w:rsidRPr="00197F47">
        <w:rPr>
          <w:rFonts w:ascii="仿宋_GB2312" w:eastAsia="仿宋_GB2312" w:hint="eastAsia"/>
          <w:sz w:val="32"/>
          <w:szCs w:val="32"/>
        </w:rPr>
        <w:t>对南京林业大学等5家单位的高质量数据集建设项目予以支持。同时，大会为杭州海康威视、浪潮软件等5家企业授牌，确立为首批国家林业和草原科学数据中心共建单位。</w:t>
      </w:r>
    </w:p>
    <w:p w:rsidR="00197F47" w:rsidRDefault="00197F4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据悉，黔南州正依托森林资源优势，将数据赋能贯穿森林防火、碳汇开发、产业培育等环节，已搭建森林防火智能监测平台、CCER造林碳汇资源数据库、油桐培育监测体系等。该州将以此次大会为契机，进一步挖掘林业数据价值，持续推动林业治理从经验驱动向智慧赋能转变。</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r>
        <w:rPr>
          <w:rFonts w:ascii="仿宋_GB2312" w:eastAsia="仿宋_GB2312" w:hint="eastAsia"/>
          <w:sz w:val="32"/>
          <w:szCs w:val="32"/>
        </w:rPr>
        <w:t xml:space="preserve">                                    </w:t>
      </w:r>
      <w:r w:rsidRPr="00197F47">
        <w:rPr>
          <w:rFonts w:ascii="仿宋_GB2312" w:eastAsia="仿宋_GB2312" w:hint="eastAsia"/>
          <w:sz w:val="32"/>
          <w:szCs w:val="32"/>
        </w:rPr>
        <w:t>（来源：贵州日报）</w:t>
      </w:r>
    </w:p>
    <w:p w:rsidR="00197F47" w:rsidRPr="00197F47" w:rsidRDefault="00197F47" w:rsidP="00007AEF">
      <w:pPr>
        <w:pStyle w:val="a5"/>
        <w:shd w:val="clear" w:color="auto" w:fill="FFFFFF"/>
        <w:spacing w:beforeAutospacing="0" w:afterAutospacing="0" w:line="520" w:lineRule="exact"/>
        <w:rPr>
          <w:rFonts w:ascii="仿宋_GB2312" w:eastAsia="仿宋_GB2312"/>
          <w:sz w:val="32"/>
          <w:szCs w:val="32"/>
        </w:rPr>
      </w:pPr>
    </w:p>
    <w:p w:rsidR="00AE4C21" w:rsidRPr="00AE4C21" w:rsidRDefault="00AE4C21" w:rsidP="00007AEF">
      <w:pPr>
        <w:pStyle w:val="a5"/>
        <w:shd w:val="clear" w:color="auto" w:fill="FFFFFF"/>
        <w:spacing w:beforeAutospacing="0" w:afterAutospacing="0" w:line="520" w:lineRule="exact"/>
        <w:jc w:val="center"/>
        <w:rPr>
          <w:rFonts w:ascii="方正小标宋简体" w:eastAsia="方正小标宋简体"/>
          <w:sz w:val="44"/>
          <w:szCs w:val="44"/>
        </w:rPr>
      </w:pPr>
      <w:r w:rsidRPr="00AE4C21">
        <w:rPr>
          <w:rFonts w:ascii="方正小标宋简体" w:eastAsia="方正小标宋简体" w:hint="eastAsia"/>
          <w:sz w:val="44"/>
          <w:szCs w:val="44"/>
        </w:rPr>
        <w:t>七部门印发“人工智能+交通运输”实施意见</w:t>
      </w:r>
    </w:p>
    <w:p w:rsidR="00AE4C21" w:rsidRPr="00197F47" w:rsidRDefault="00AE4C21" w:rsidP="00007AEF">
      <w:pPr>
        <w:pStyle w:val="a5"/>
        <w:shd w:val="clear" w:color="auto" w:fill="FFFFFF"/>
        <w:spacing w:beforeAutospacing="0" w:afterAutospacing="0" w:line="520" w:lineRule="exact"/>
        <w:jc w:val="center"/>
        <w:rPr>
          <w:rFonts w:ascii="仿宋_GB2312" w:eastAsia="仿宋_GB2312"/>
          <w:sz w:val="32"/>
          <w:szCs w:val="32"/>
        </w:rPr>
      </w:pPr>
      <w:r w:rsidRPr="00197F47">
        <w:rPr>
          <w:rFonts w:ascii="仿宋_GB2312" w:eastAsia="仿宋_GB2312" w:hint="eastAsia"/>
          <w:sz w:val="32"/>
          <w:szCs w:val="32"/>
        </w:rPr>
        <w:t>（2025-10-13）</w:t>
      </w:r>
    </w:p>
    <w:p w:rsidR="00AE4C21" w:rsidRPr="00197F47" w:rsidRDefault="00AE4C21"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近日，交通运输部、国家发展改革委、工业和信息化部、国家数据局、国家铁路局、中国民用航空局、国家邮政局七部门联合印发《关于“人工智能+交通运输”的实施意见》（以下简称《意见》），加快推动人工智能在交通运输领域规模化创新应用。</w:t>
      </w:r>
    </w:p>
    <w:p w:rsidR="00AE4C21" w:rsidRPr="00197F47" w:rsidRDefault="00AE4C21"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意见》提出，到2027年，人工智能在交通运输行业典型场景广泛应用，综合交通运输大模型体系落地部署，普及应用一批智能体，建成一批“人工智能+交通运输”标志性创新工程，人工智能成为引领交通运输创新发展的重要动力。到2030年，人工智能深度融入交通运输行业，智能综合立体交通网全面推进。智慧交通与智慧物流领域关键核心技术实现自主可控，总体水平位于世界前列，培育一批新产业、新业态，形成较为完备的交通领域人工智能治理体系，引领交通运输高质量发展和高水平安全迈上新台阶。</w:t>
      </w:r>
    </w:p>
    <w:p w:rsidR="00AE4C21" w:rsidRPr="00197F47" w:rsidRDefault="00AE4C21"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《意见》从加大关键技术供给、加速创新场景赋能、加强核心要素保障、优化产业发展生态四大方面提出16项具体任务。</w:t>
      </w:r>
    </w:p>
    <w:p w:rsidR="00AE4C21" w:rsidRPr="00197F47" w:rsidRDefault="00AE4C21"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在加大关键技术供给方面，《意见》提出，开展应用技术攻关，加快智能产品创新。加快智能驾驶系统、远程驾驶座舱等产品研发。强化公路高性能夜视监控、结构检测等新技术、新装备研发应用。鼓励无人机、全地形车等新装备的研制。建设综合交通运输大模型。构建涵盖多种运输方式，贯通基础设施、运输服务、行业治理等业务领域，面向交通运输典型应用场景的综合交通运输大模型，打造“人工智能+交通运输”高质量数据集、算法库、工具链，为建设智能综合立体交通网提供技术底座。</w:t>
      </w:r>
    </w:p>
    <w:p w:rsidR="00AE4C21" w:rsidRDefault="00AE4C21"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在加强核心要素保障方面，《意见》提出，统筹优化算力供给能力。加强行业算力资源统筹，动态整合企业算力。加快高质量数据集建设。推动产学研用各方深化数据共享，建设高质量人工智能大模型训练数据集。推动泛在网络设施建设。推动人工智能、新一代通信、物联网等技术综合应用，支撑交通基础设施网、运输服务网、能源网与信息网络融合发展。构建行业设施设备实时监测和智能感知体系，实现重大交通基础设施信息自动采集与监测。加快建立5G、卫星通信、卫星互联网等公共网络和行业专用网络融合的交通数据传输通道，推动交通新型基础设施从“连接提速”到“算力增效”。</w:t>
      </w:r>
    </w:p>
    <w:p w:rsidR="00AE4C21" w:rsidRDefault="00AE4C21" w:rsidP="00007AEF">
      <w:pPr>
        <w:pStyle w:val="a5"/>
        <w:shd w:val="clear" w:color="auto" w:fill="FFFFFF"/>
        <w:spacing w:beforeAutospacing="0" w:afterAutospacing="0" w:line="520" w:lineRule="exact"/>
        <w:rPr>
          <w:rFonts w:ascii="仿宋_GB2312" w:eastAsia="仿宋_GB2312" w:hint="eastAsia"/>
          <w:sz w:val="32"/>
          <w:szCs w:val="32"/>
        </w:rPr>
      </w:pPr>
      <w:r>
        <w:rPr>
          <w:rFonts w:ascii="仿宋_GB2312" w:eastAsia="仿宋_GB2312" w:hint="eastAsia"/>
          <w:sz w:val="32"/>
          <w:szCs w:val="32"/>
        </w:rPr>
        <w:t xml:space="preserve">                                  </w:t>
      </w:r>
      <w:r w:rsidRPr="00197F47">
        <w:rPr>
          <w:rFonts w:ascii="仿宋_GB2312" w:eastAsia="仿宋_GB2312" w:hint="eastAsia"/>
          <w:sz w:val="32"/>
          <w:szCs w:val="32"/>
        </w:rPr>
        <w:t>（来源：人民邮电报）</w:t>
      </w:r>
    </w:p>
    <w:p w:rsidR="00007AEF" w:rsidRPr="00007AEF" w:rsidRDefault="00007AEF" w:rsidP="00007AEF">
      <w:pPr>
        <w:pStyle w:val="a5"/>
        <w:shd w:val="clear" w:color="auto" w:fill="FFFFFF"/>
        <w:spacing w:beforeAutospacing="0" w:afterAutospacing="0" w:line="520" w:lineRule="exact"/>
        <w:rPr>
          <w:rFonts w:ascii="仿宋_GB2312" w:eastAsia="仿宋_GB2312"/>
          <w:sz w:val="32"/>
          <w:szCs w:val="32"/>
        </w:rPr>
      </w:pPr>
    </w:p>
    <w:p w:rsidR="00935017" w:rsidRDefault="00935017" w:rsidP="00007AEF">
      <w:pPr>
        <w:pStyle w:val="a5"/>
        <w:shd w:val="clear" w:color="auto" w:fill="FFFFFF"/>
        <w:spacing w:beforeAutospacing="0" w:afterAutospacing="0" w:line="640" w:lineRule="exact"/>
        <w:jc w:val="center"/>
        <w:rPr>
          <w:rFonts w:ascii="方正小标宋简体" w:eastAsia="方正小标宋简体"/>
          <w:sz w:val="44"/>
          <w:szCs w:val="44"/>
        </w:rPr>
      </w:pPr>
      <w:r w:rsidRPr="00935017">
        <w:rPr>
          <w:rFonts w:ascii="方正小标宋简体" w:eastAsia="方正小标宋简体" w:hint="eastAsia"/>
          <w:sz w:val="44"/>
          <w:szCs w:val="44"/>
        </w:rPr>
        <w:t>上海：到2027年智能终端产业</w:t>
      </w:r>
    </w:p>
    <w:p w:rsidR="00935017" w:rsidRPr="00935017" w:rsidRDefault="00935017" w:rsidP="00007AEF">
      <w:pPr>
        <w:pStyle w:val="a5"/>
        <w:shd w:val="clear" w:color="auto" w:fill="FFFFFF"/>
        <w:spacing w:beforeAutospacing="0" w:afterAutospacing="0" w:line="640" w:lineRule="exact"/>
        <w:jc w:val="center"/>
        <w:rPr>
          <w:rFonts w:ascii="方正小标宋简体" w:eastAsia="方正小标宋简体"/>
          <w:sz w:val="44"/>
          <w:szCs w:val="44"/>
        </w:rPr>
      </w:pPr>
      <w:r w:rsidRPr="00935017">
        <w:rPr>
          <w:rFonts w:ascii="方正小标宋简体" w:eastAsia="方正小标宋简体" w:hint="eastAsia"/>
          <w:sz w:val="44"/>
          <w:szCs w:val="44"/>
        </w:rPr>
        <w:t>总体规模突破3000亿元</w:t>
      </w:r>
    </w:p>
    <w:p w:rsidR="00935017" w:rsidRPr="00197F47" w:rsidRDefault="00935017" w:rsidP="00007AEF">
      <w:pPr>
        <w:pStyle w:val="a5"/>
        <w:shd w:val="clear" w:color="auto" w:fill="FFFFFF"/>
        <w:spacing w:beforeAutospacing="0" w:afterAutospacing="0" w:line="520" w:lineRule="exact"/>
        <w:jc w:val="center"/>
        <w:rPr>
          <w:rFonts w:ascii="仿宋_GB2312" w:eastAsia="仿宋_GB2312"/>
          <w:sz w:val="32"/>
          <w:szCs w:val="32"/>
        </w:rPr>
      </w:pPr>
      <w:r w:rsidRPr="00197F47">
        <w:rPr>
          <w:rFonts w:ascii="仿宋_GB2312" w:eastAsia="仿宋_GB2312" w:hint="eastAsia"/>
          <w:sz w:val="32"/>
          <w:szCs w:val="32"/>
        </w:rPr>
        <w:t>（2025-10-16）</w:t>
      </w:r>
    </w:p>
    <w:p w:rsidR="00935017" w:rsidRPr="00197F47" w:rsidRDefault="0093501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10月14日，上海市经济和信息化委员会印发《上海市智能终端产业高质量发展行动方案（2026—2027年）》（以下简称《行动方案》），明确提出培育壮大上海智能终端产业，打响上海智能终端品牌，到2027年，上海市智能终端产业总体规模突破3000亿元，打造3家以上具有全球影响力的消费级终端品牌，培育2家领军企业，实现三个“一千万”台规模，即人工智能计算机、人工智能手机、人工智能新终端规模各达到千万台以上。</w:t>
      </w:r>
    </w:p>
    <w:p w:rsidR="00935017" w:rsidRPr="00197F47" w:rsidRDefault="0093501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行动方案》围绕终端核心产品打造、终端关键技术筑基、产业生态环境优化三大行动，提出20条具体举措。一是终端核心产品打造行动，包含推动人工智能计算机加快发展、布局人工智能手机产品、提升智能算力终端规模、强化机器人终端能力、支持智能眼镜能力跃升、培育卫星互联网终端产品、激发银发经济终端活力、推出工业终端产品、加速未来终端研发、创新新型消费终端产品。二是终端关键技术筑基行动，包含加强端侧人工智能芯片布局、提升端侧模型性能、推动软硬件协同创新、强化智能模组能力、促进下一代显示技术发展。三是产业生态环境优化行动，包含提升上海智能终端品牌竞争力、打造智能终端规模化生产基地、加快形成产业集聚效应、提升金融对产业支撑力度、鼓励智能终端产品应用推广。</w:t>
      </w:r>
    </w:p>
    <w:p w:rsidR="00935017" w:rsidRDefault="00935017" w:rsidP="00007AEF">
      <w:pPr>
        <w:pStyle w:val="a5"/>
        <w:shd w:val="clear" w:color="auto" w:fill="FFFFFF"/>
        <w:spacing w:beforeAutospacing="0" w:afterAutospacing="0" w:line="520" w:lineRule="exact"/>
        <w:rPr>
          <w:rFonts w:ascii="仿宋_GB2312" w:eastAsia="仿宋_GB2312"/>
          <w:sz w:val="32"/>
          <w:szCs w:val="32"/>
        </w:rPr>
      </w:pPr>
      <w:r w:rsidRPr="00197F47">
        <w:rPr>
          <w:rFonts w:ascii="仿宋_GB2312" w:eastAsia="仿宋_GB2312" w:hint="eastAsia"/>
          <w:sz w:val="32"/>
          <w:szCs w:val="32"/>
        </w:rPr>
        <w:t xml:space="preserve">　　当前人工智能技术持续变革突破，为智能终端产业发展带来新一轮重要发展机遇。《行动方案》的发布，将推动培育壮大上海智能终端产业，打响上海智能终端品牌。</w:t>
      </w:r>
    </w:p>
    <w:p w:rsidR="00935017" w:rsidRPr="00197F47" w:rsidRDefault="00935017" w:rsidP="00007AEF">
      <w:pPr>
        <w:pStyle w:val="a5"/>
        <w:shd w:val="clear" w:color="auto" w:fill="FFFFFF"/>
        <w:spacing w:beforeAutospacing="0" w:afterAutospacing="0" w:line="520" w:lineRule="exact"/>
        <w:rPr>
          <w:rFonts w:ascii="仿宋_GB2312" w:eastAsia="仿宋_GB2312"/>
          <w:sz w:val="32"/>
          <w:szCs w:val="32"/>
        </w:rPr>
      </w:pPr>
      <w:r>
        <w:rPr>
          <w:rFonts w:ascii="仿宋_GB2312" w:eastAsia="仿宋_GB2312" w:hint="eastAsia"/>
          <w:sz w:val="32"/>
          <w:szCs w:val="32"/>
        </w:rPr>
        <w:t xml:space="preserve">                                 </w:t>
      </w:r>
      <w:r w:rsidRPr="00197F47">
        <w:rPr>
          <w:rFonts w:ascii="仿宋_GB2312" w:eastAsia="仿宋_GB2312" w:hint="eastAsia"/>
          <w:sz w:val="32"/>
          <w:szCs w:val="32"/>
        </w:rPr>
        <w:t>（来源：人民邮电报）</w:t>
      </w:r>
    </w:p>
    <w:p w:rsidR="00935017" w:rsidRPr="00197F47" w:rsidRDefault="00935017" w:rsidP="00007AEF">
      <w:pPr>
        <w:pStyle w:val="a5"/>
        <w:shd w:val="clear" w:color="auto" w:fill="FFFFFF"/>
        <w:spacing w:beforeAutospacing="0" w:afterAutospacing="0"/>
        <w:rPr>
          <w:rFonts w:ascii="仿宋_GB2312" w:eastAsia="仿宋_GB2312"/>
          <w:sz w:val="32"/>
          <w:szCs w:val="32"/>
        </w:rPr>
      </w:pPr>
    </w:p>
    <w:p w:rsidR="00935017" w:rsidRPr="003B0C8F" w:rsidRDefault="00935017" w:rsidP="00007AEF">
      <w:pPr>
        <w:pStyle w:val="a5"/>
        <w:shd w:val="clear" w:color="auto" w:fill="FFFFFF"/>
        <w:spacing w:beforeAutospacing="0" w:afterAutospacing="0"/>
        <w:jc w:val="center"/>
        <w:rPr>
          <w:rFonts w:ascii="方正小标宋简体" w:eastAsia="方正小标宋简体"/>
          <w:sz w:val="44"/>
          <w:szCs w:val="44"/>
        </w:rPr>
      </w:pPr>
      <w:r w:rsidRPr="003B0C8F">
        <w:rPr>
          <w:rFonts w:ascii="方正小标宋简体" w:eastAsia="方正小标宋简体" w:hint="eastAsia"/>
          <w:sz w:val="44"/>
          <w:szCs w:val="44"/>
        </w:rPr>
        <w:t>河北省加快推动可信数据空间建设</w:t>
      </w:r>
    </w:p>
    <w:p w:rsidR="00935017" w:rsidRPr="00935017" w:rsidRDefault="00935017" w:rsidP="00007AEF">
      <w:pPr>
        <w:pStyle w:val="a5"/>
        <w:shd w:val="clear" w:color="auto" w:fill="FFFFFF"/>
        <w:spacing w:beforeAutospacing="0" w:afterAutospacing="0"/>
        <w:jc w:val="center"/>
        <w:rPr>
          <w:rFonts w:ascii="仿宋_GB2312" w:eastAsia="仿宋_GB2312"/>
          <w:sz w:val="32"/>
          <w:szCs w:val="32"/>
        </w:rPr>
      </w:pPr>
      <w:r w:rsidRPr="00935017">
        <w:rPr>
          <w:rFonts w:ascii="仿宋_GB2312" w:eastAsia="仿宋_GB2312" w:hint="eastAsia"/>
          <w:sz w:val="32"/>
          <w:szCs w:val="32"/>
        </w:rPr>
        <w:t>（2025-10-12）</w:t>
      </w:r>
    </w:p>
    <w:p w:rsidR="00935017" w:rsidRPr="00935017" w:rsidRDefault="00935017" w:rsidP="00007AEF">
      <w:pPr>
        <w:pStyle w:val="a5"/>
        <w:shd w:val="clear" w:color="auto" w:fill="FFFFFF"/>
        <w:spacing w:beforeAutospacing="0" w:afterAutospacing="0"/>
        <w:rPr>
          <w:rFonts w:ascii="仿宋_GB2312" w:eastAsia="仿宋_GB2312"/>
          <w:sz w:val="32"/>
          <w:szCs w:val="32"/>
        </w:rPr>
      </w:pPr>
      <w:r w:rsidRPr="00935017">
        <w:rPr>
          <w:rFonts w:ascii="仿宋_GB2312" w:eastAsia="仿宋_GB2312" w:hint="eastAsia"/>
          <w:sz w:val="32"/>
          <w:szCs w:val="32"/>
        </w:rPr>
        <w:t xml:space="preserve">    数据作为人工智能三要素之一，其安全高效流通离不开可信数据空间等基础设施的支撑。从省政府新闻办10月10日召开的河北省推动“人工智能+”行动计划（2025—2027年）新闻发布会上获悉，我省围绕服务“人工智能+”“数据要素×”典型场景，加快推动可信数据空间建设，部署数据安全防护技术，畅通数据安全合规流通通道，不断释放数据要素价值。</w:t>
      </w:r>
    </w:p>
    <w:p w:rsidR="00935017" w:rsidRPr="00935017" w:rsidRDefault="00935017" w:rsidP="00007AEF">
      <w:pPr>
        <w:pStyle w:val="a5"/>
        <w:shd w:val="clear" w:color="auto" w:fill="FFFFFF"/>
        <w:spacing w:beforeAutospacing="0" w:afterAutospacing="0"/>
        <w:rPr>
          <w:rFonts w:ascii="仿宋_GB2312" w:eastAsia="仿宋_GB2312"/>
          <w:sz w:val="32"/>
          <w:szCs w:val="32"/>
        </w:rPr>
      </w:pPr>
      <w:r w:rsidRPr="00935017">
        <w:rPr>
          <w:rFonts w:ascii="仿宋_GB2312" w:eastAsia="仿宋_GB2312" w:hint="eastAsia"/>
          <w:sz w:val="32"/>
          <w:szCs w:val="32"/>
        </w:rPr>
        <w:t xml:space="preserve">    省数据和政务服务局相关负责人介绍，围绕可信数据空间建设，我省主要开展了三方面工作。</w:t>
      </w:r>
    </w:p>
    <w:p w:rsidR="00935017" w:rsidRPr="00935017" w:rsidRDefault="00935017" w:rsidP="00007AEF">
      <w:pPr>
        <w:pStyle w:val="a5"/>
        <w:shd w:val="clear" w:color="auto" w:fill="FFFFFF"/>
        <w:spacing w:beforeAutospacing="0" w:afterAutospacing="0"/>
        <w:rPr>
          <w:rFonts w:ascii="仿宋_GB2312" w:eastAsia="仿宋_GB2312"/>
          <w:sz w:val="32"/>
          <w:szCs w:val="32"/>
        </w:rPr>
      </w:pPr>
      <w:r w:rsidRPr="00935017">
        <w:rPr>
          <w:rFonts w:ascii="仿宋_GB2312" w:eastAsia="仿宋_GB2312" w:hint="eastAsia"/>
          <w:sz w:val="32"/>
          <w:szCs w:val="32"/>
        </w:rPr>
        <w:t xml:space="preserve">    积极支持国家可信数据空间试点建设。我省落实国家关于可信数据空间的工作部署，建立全省推进可信数据空间创新发展试点建设工作机制，加速可信数据空间技术平台建设和运营规则设计，争取到3个国家试点。其中，雄安数城“雄安新区城市可信数据空间”、中矿数据“矿产资源行业可信数据空间”和中国星网“空天（通导感）可信数据空间”分别入选城市、行业和企业类试点。目前，这3家企业建设的可信数据空间的云资源、区块链、数据连接器等基础设施已基本齐备，具备数据融合开发、数据产品交付能力。</w:t>
      </w:r>
    </w:p>
    <w:p w:rsidR="00935017" w:rsidRPr="00935017" w:rsidRDefault="00935017" w:rsidP="00007AEF">
      <w:pPr>
        <w:pStyle w:val="a5"/>
        <w:shd w:val="clear" w:color="auto" w:fill="FFFFFF"/>
        <w:spacing w:beforeAutospacing="0" w:afterAutospacing="0"/>
        <w:rPr>
          <w:rFonts w:ascii="仿宋_GB2312" w:eastAsia="仿宋_GB2312"/>
          <w:sz w:val="32"/>
          <w:szCs w:val="32"/>
        </w:rPr>
      </w:pPr>
      <w:r w:rsidRPr="00935017">
        <w:rPr>
          <w:rFonts w:ascii="仿宋_GB2312" w:eastAsia="仿宋_GB2312" w:hint="eastAsia"/>
          <w:sz w:val="32"/>
          <w:szCs w:val="32"/>
        </w:rPr>
        <w:t xml:space="preserve">    组织省级可信数据空间试点建设。按照行业、企业、城市3类可信数据空间方向，遴选出河北省2025年可信数据空间创新发展试点项目15个，其中行业空间4个、企业空间7个、城市空间4个。计划通过两年的试点培育期，形成一批可复制、可推广的实践案例，逐步构建运营规范、技术自主、生态协同、标准统一的可信数据空间发展体系，为数据安全有序流通提供有力支撑。</w:t>
      </w:r>
    </w:p>
    <w:p w:rsidR="00935017" w:rsidRDefault="00935017" w:rsidP="00007AEF">
      <w:pPr>
        <w:pStyle w:val="a5"/>
        <w:shd w:val="clear" w:color="auto" w:fill="FFFFFF"/>
        <w:spacing w:beforeAutospacing="0" w:afterAutospacing="0"/>
        <w:rPr>
          <w:rFonts w:ascii="仿宋_GB2312" w:eastAsia="仿宋_GB2312"/>
          <w:sz w:val="32"/>
          <w:szCs w:val="32"/>
        </w:rPr>
      </w:pPr>
      <w:r w:rsidRPr="00935017">
        <w:rPr>
          <w:rFonts w:ascii="仿宋_GB2312" w:eastAsia="仿宋_GB2312" w:hint="eastAsia"/>
          <w:sz w:val="32"/>
          <w:szCs w:val="32"/>
        </w:rPr>
        <w:t xml:space="preserve">    打造公共数据可信数据空间。为推进我省“人工智能+政务场景”集约化建设，省数据和政务服务局通过“企业建设运营、政府购买服务”的方式，打造了公共数据可信空间AI服务平台，可统筹提供算力、数据加工、模型、数据安全等服务，供各部门打造政务场景使用，进一步沉淀高质量数据集、智能体等数据资产，为行业、城市、企业可信空间建设提供样板，有效保障公共数据安全合规流通。</w:t>
      </w:r>
    </w:p>
    <w:p w:rsidR="00935017" w:rsidRPr="00935017" w:rsidRDefault="00935017" w:rsidP="00007AEF">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935017">
        <w:rPr>
          <w:rFonts w:ascii="仿宋_GB2312" w:eastAsia="仿宋_GB2312" w:hint="eastAsia"/>
          <w:sz w:val="32"/>
          <w:szCs w:val="32"/>
        </w:rPr>
        <w:t>（来源：河北日报）</w:t>
      </w:r>
    </w:p>
    <w:p w:rsidR="00935017" w:rsidRDefault="00935017" w:rsidP="00007AEF">
      <w:pPr>
        <w:pStyle w:val="a5"/>
        <w:shd w:val="clear" w:color="auto" w:fill="FFFFFF"/>
        <w:spacing w:beforeAutospacing="0" w:afterAutospacing="0"/>
        <w:rPr>
          <w:rFonts w:ascii="仿宋_GB2312" w:eastAsia="仿宋_GB2312"/>
          <w:sz w:val="32"/>
          <w:szCs w:val="32"/>
        </w:rPr>
      </w:pPr>
    </w:p>
    <w:p w:rsidR="00197F47" w:rsidRPr="003B0C8F" w:rsidRDefault="00197F47" w:rsidP="00007AEF">
      <w:pPr>
        <w:pStyle w:val="a5"/>
        <w:shd w:val="clear" w:color="auto" w:fill="FFFFFF"/>
        <w:spacing w:beforeAutospacing="0" w:afterAutospacing="0"/>
        <w:jc w:val="center"/>
        <w:rPr>
          <w:rFonts w:ascii="方正小标宋简体" w:eastAsia="方正小标宋简体"/>
          <w:sz w:val="44"/>
          <w:szCs w:val="44"/>
        </w:rPr>
      </w:pPr>
      <w:r w:rsidRPr="003B0C8F">
        <w:rPr>
          <w:rFonts w:ascii="方正小标宋简体" w:eastAsia="方正小标宋简体" w:hint="eastAsia"/>
          <w:sz w:val="44"/>
          <w:szCs w:val="44"/>
        </w:rPr>
        <w:t>新型芯片算力可超顶级GPU千倍</w:t>
      </w:r>
    </w:p>
    <w:p w:rsidR="00197F47" w:rsidRPr="00197F47" w:rsidRDefault="00197F47" w:rsidP="00007AEF">
      <w:pPr>
        <w:pStyle w:val="a5"/>
        <w:shd w:val="clear" w:color="auto" w:fill="FFFFFF"/>
        <w:spacing w:beforeAutospacing="0" w:afterAutospacing="0"/>
        <w:jc w:val="center"/>
        <w:rPr>
          <w:rFonts w:ascii="仿宋_GB2312" w:eastAsia="仿宋_GB2312"/>
          <w:sz w:val="32"/>
          <w:szCs w:val="32"/>
        </w:rPr>
      </w:pPr>
      <w:r w:rsidRPr="00197F47">
        <w:rPr>
          <w:rFonts w:ascii="仿宋_GB2312" w:eastAsia="仿宋_GB2312" w:hint="eastAsia"/>
          <w:sz w:val="32"/>
          <w:szCs w:val="32"/>
        </w:rPr>
        <w:t>（2025-10-15）</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科技日报北京10月14日电  近日，北京大学人工智能研究院孙仲研究员团队联合集成电路学院研究团队，成功研制出基于阻变存储器的高精度、可扩展模拟矩阵计算芯片，首次实现了在精度上可与数字计算媲美的模拟计算系统。该芯片在求解大规模MIMO信号检测等关键科学问题时，计算吞吐量与能效较当前顶级数字处理器（GPU）提升百倍至千倍。相关论文10月13日刊发于《自然·电子学》期刊。</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我们熟悉的通信基站信号处理、AI大模型训练参数优化等，本质都是在解复杂的矩阵方程。采用数字方法实现高精度矩阵求逆的计算开销极大</w:t>
      </w:r>
      <w:r w:rsidR="003B0C8F">
        <w:rPr>
          <w:rFonts w:ascii="仿宋_GB2312" w:eastAsia="仿宋_GB2312" w:hint="eastAsia"/>
          <w:sz w:val="32"/>
          <w:szCs w:val="32"/>
        </w:rPr>
        <w:t>,</w:t>
      </w:r>
      <w:r w:rsidRPr="00197F47">
        <w:rPr>
          <w:rFonts w:ascii="仿宋_GB2312" w:eastAsia="仿宋_GB2312" w:hint="eastAsia"/>
          <w:sz w:val="32"/>
          <w:szCs w:val="32"/>
        </w:rPr>
        <w:t>耗时长、能耗高。于是，曾被视为老旧技术的模拟计算重新进入研究视野，它直接利用物理定律实现并行运算，延时低、功耗低，在算力瓶颈背景下，具有先天优势。</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但如何让模拟计算兼具高精度与可扩展性，从而在现代计算任务中发挥其先天优势，一直是困扰全球科学界的世纪难题。</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孙仲团队选择了一条融合创新的道路，通过新型信息器件、原创电路和经典算法的协同设计，构建了一个基于阻变存储器阵列的高精度、可拓展的全模拟矩阵方程求解器，首次将模拟计算的精度提升至24位定点精度。</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孙仲介绍，研究团队基于迭代算法，结合了模拟低精度矩阵求逆和模拟高精度矩阵—向量乘法运算，开发了一种基于全模拟矩阵运算的高精度矩阵方程求解方案，先快速算出矩阵方程的“近似解”，再用“位切片”方法，实现迭代细化。</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在计算精度方面，团队在实验上成功实现16×16矩阵的24比特定点数精度求逆，矩阵方程求解经过10次迭代后，相对误差可低至10-7量级。在计算性能方面，在求解32×32矩阵求逆问题时，其算力已超越高端GPU的单核性能；当问题规模扩大至128×128时，计算吞吐量更达到顶级数字处理器的1000倍以上，传统GPU干一天的活，这款芯片一分钟就能搞定。同时，该方案在相同精度下能效比传统数字处理器提升超100倍，为高能效计算中心提供了关键技术支撑。</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团队将它应用到了“大规模MIMO（多输入多输出）信号检测”中，仅用3次迭代，恢复的图像就和原始图像高度一致，误码率和32位数字计算效果相当，凸显其在实时信号处理中的潜力。</w:t>
      </w:r>
    </w:p>
    <w:p w:rsidR="003B0C8F"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我们证明，模拟计算能以极高效率和精度解决现代科学和工程中的核心计算问题。”孙仲说，这项突破的应用前景广阔，可赋能多元计算场景，有望重塑算力格局。团队的研究为算力提升探索出一条极具潜力的路径，有望打破数字计算的长期垄断，开启一个算力无处不在且绿色高效的新时代。</w:t>
      </w:r>
    </w:p>
    <w:p w:rsidR="00197F47" w:rsidRPr="00197F47" w:rsidRDefault="003B0C8F" w:rsidP="00007AEF">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197F47" w:rsidRPr="00197F47">
        <w:rPr>
          <w:rFonts w:ascii="仿宋_GB2312" w:eastAsia="仿宋_GB2312" w:hint="eastAsia"/>
          <w:sz w:val="32"/>
          <w:szCs w:val="32"/>
        </w:rPr>
        <w:t>（来源：科技日报）</w:t>
      </w:r>
    </w:p>
    <w:p w:rsidR="00197F47" w:rsidRPr="003B0C8F" w:rsidRDefault="00197F47" w:rsidP="00007AEF">
      <w:pPr>
        <w:pStyle w:val="a5"/>
        <w:shd w:val="clear" w:color="auto" w:fill="FFFFFF"/>
        <w:spacing w:beforeAutospacing="0" w:afterAutospacing="0"/>
        <w:jc w:val="center"/>
        <w:rPr>
          <w:rFonts w:ascii="方正小标宋简体" w:eastAsia="方正小标宋简体"/>
          <w:sz w:val="44"/>
          <w:szCs w:val="44"/>
        </w:rPr>
      </w:pPr>
      <w:r w:rsidRPr="003B0C8F">
        <w:rPr>
          <w:rFonts w:ascii="方正小标宋简体" w:eastAsia="方正小标宋简体" w:hint="eastAsia"/>
          <w:sz w:val="44"/>
          <w:szCs w:val="44"/>
        </w:rPr>
        <w:t>OpenAI官宣自研AI芯片</w:t>
      </w:r>
    </w:p>
    <w:p w:rsidR="00197F47" w:rsidRPr="00197F47" w:rsidRDefault="00197F47" w:rsidP="00007AEF">
      <w:pPr>
        <w:pStyle w:val="a5"/>
        <w:shd w:val="clear" w:color="auto" w:fill="FFFFFF"/>
        <w:spacing w:beforeAutospacing="0" w:afterAutospacing="0"/>
        <w:jc w:val="center"/>
        <w:rPr>
          <w:rFonts w:ascii="仿宋_GB2312" w:eastAsia="仿宋_GB2312"/>
          <w:sz w:val="32"/>
          <w:szCs w:val="32"/>
        </w:rPr>
      </w:pPr>
      <w:r w:rsidRPr="00197F47">
        <w:rPr>
          <w:rFonts w:ascii="仿宋_GB2312" w:eastAsia="仿宋_GB2312" w:hint="eastAsia"/>
          <w:sz w:val="32"/>
          <w:szCs w:val="32"/>
        </w:rPr>
        <w:t>（2025-10-16）</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10月13日，OpenAI宣布与芯片巨头博通达成战略合作，共同部署由前者设计的10吉瓦（GW）规模的AI加速芯片集群。同时，预计双方将自2026年下半年起部署AI加速芯片与网络系统的机架，并于2029年底前完成全部部署。</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OpenAI CEO奥尔特曼表示，OpenAI将设计AI芯片和系统，并与博通合作开发和部署。双方将共同开发包括博通芯片和以太网解决方案在内的系统，用于纵向扩展和横向扩展。</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OpenAI自研的这款基于ARM架构的AI芯片，将与Arm、甲骨文等公司合作。同时，OpenAI已达成数据中心和芯片方面的交易，金额轻松超过1万亿美元，该公司计划在博通芯片上再投入数百亿美元。</w:t>
      </w:r>
    </w:p>
    <w:p w:rsidR="003B0C8F"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这是短短一个月内，OpenAI与第三家芯片巨头联合宣布的重磅交易。加上此前OpenAI与英伟达、AMD的合作，据统计，OpenAI共计将构建超过26GW规模的AI加速集群，并形成一个围绕英伟达、OpenAI、AMD的万亿“循环交易”生态。</w:t>
      </w:r>
    </w:p>
    <w:p w:rsidR="00197F47" w:rsidRPr="00197F47" w:rsidRDefault="003B0C8F" w:rsidP="00007AEF">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197F47" w:rsidRPr="00197F47">
        <w:rPr>
          <w:rFonts w:ascii="仿宋_GB2312" w:eastAsia="仿宋_GB2312" w:hint="eastAsia"/>
          <w:sz w:val="32"/>
          <w:szCs w:val="32"/>
        </w:rPr>
        <w:t>（来源：人民邮电报）</w:t>
      </w:r>
    </w:p>
    <w:p w:rsidR="00197F47" w:rsidRPr="00197F47" w:rsidRDefault="00197F47" w:rsidP="00007AEF">
      <w:pPr>
        <w:pStyle w:val="a5"/>
        <w:shd w:val="clear" w:color="auto" w:fill="FFFFFF"/>
        <w:spacing w:beforeAutospacing="0" w:afterAutospacing="0"/>
        <w:rPr>
          <w:rFonts w:ascii="仿宋_GB2312" w:eastAsia="仿宋_GB2312"/>
          <w:sz w:val="32"/>
          <w:szCs w:val="32"/>
        </w:rPr>
      </w:pPr>
    </w:p>
    <w:p w:rsidR="00197F47" w:rsidRPr="003B0C8F" w:rsidRDefault="00197F47" w:rsidP="00007AEF">
      <w:pPr>
        <w:pStyle w:val="a5"/>
        <w:shd w:val="clear" w:color="auto" w:fill="FFFFFF"/>
        <w:spacing w:beforeAutospacing="0" w:afterAutospacing="0"/>
        <w:jc w:val="center"/>
        <w:rPr>
          <w:rFonts w:ascii="方正小标宋简体" w:eastAsia="方正小标宋简体"/>
          <w:sz w:val="43"/>
          <w:szCs w:val="43"/>
        </w:rPr>
      </w:pPr>
      <w:r w:rsidRPr="003B0C8F">
        <w:rPr>
          <w:rFonts w:ascii="方正小标宋简体" w:eastAsia="方正小标宋简体" w:hint="eastAsia"/>
          <w:sz w:val="43"/>
          <w:szCs w:val="43"/>
        </w:rPr>
        <w:t>“星际之门”项目将在美新建5个AI数据中心</w:t>
      </w:r>
    </w:p>
    <w:p w:rsidR="00197F47" w:rsidRPr="00197F47" w:rsidRDefault="00197F47" w:rsidP="00007AEF">
      <w:pPr>
        <w:pStyle w:val="a5"/>
        <w:shd w:val="clear" w:color="auto" w:fill="FFFFFF"/>
        <w:spacing w:beforeAutospacing="0" w:afterAutospacing="0"/>
        <w:jc w:val="center"/>
        <w:rPr>
          <w:rFonts w:ascii="仿宋_GB2312" w:eastAsia="仿宋_GB2312"/>
          <w:sz w:val="32"/>
          <w:szCs w:val="32"/>
        </w:rPr>
      </w:pPr>
      <w:r w:rsidRPr="00197F47">
        <w:rPr>
          <w:rFonts w:ascii="仿宋_GB2312" w:eastAsia="仿宋_GB2312" w:hint="eastAsia"/>
          <w:sz w:val="32"/>
          <w:szCs w:val="32"/>
        </w:rPr>
        <w:t>（2025-10-16）</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美国开放人工智能研究中心、甲骨文公司和日本软银集团日前联合宣布，三家企业联手打造的“星际之门”项目将在美国新建5个AI（人工智能）数据中心。</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据开放人工智能研究中心官网发布的新闻公报，新建的5个数据中心中，最新宣布的两个分别位于俄亥俄州和得克萨斯州，由软银集团和开放人工智能研究中心合作开发，可在未来18个月内扩展至1.5千兆瓦容量。</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开放人工智能研究中心今年7月和甲骨文公司达成协议，未来5年将投资超过3000</w:t>
      </w:r>
      <w:r w:rsidR="003B0C8F">
        <w:rPr>
          <w:rFonts w:ascii="仿宋_GB2312" w:eastAsia="仿宋_GB2312" w:hint="eastAsia"/>
          <w:sz w:val="32"/>
          <w:szCs w:val="32"/>
        </w:rPr>
        <w:t>亿美元，</w:t>
      </w:r>
      <w:r w:rsidRPr="00197F47">
        <w:rPr>
          <w:rFonts w:ascii="仿宋_GB2312" w:eastAsia="仿宋_GB2312" w:hint="eastAsia"/>
          <w:sz w:val="32"/>
          <w:szCs w:val="32"/>
        </w:rPr>
        <w:t>在得克萨斯州、新墨西哥州和美国中西部某地合作开发3个共计4.5千兆瓦容量的数据中心。</w:t>
      </w:r>
    </w:p>
    <w:p w:rsidR="00197F47" w:rsidRPr="00197F47"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三家企业表示，上述5个AI数据中心，加上之前在得克萨斯州的旗舰数据中心以及与“核心编织”公司正在推进的合作项目，总计可使“星际之门”项目达到近7千兆瓦的计划容量，未来3年内投资将超过4000亿美元。</w:t>
      </w:r>
    </w:p>
    <w:p w:rsidR="003B0C8F" w:rsidRDefault="00197F47" w:rsidP="00007AEF">
      <w:pPr>
        <w:pStyle w:val="a5"/>
        <w:shd w:val="clear" w:color="auto" w:fill="FFFFFF"/>
        <w:spacing w:beforeAutospacing="0" w:afterAutospacing="0"/>
        <w:rPr>
          <w:rFonts w:ascii="仿宋_GB2312" w:eastAsia="仿宋_GB2312"/>
          <w:sz w:val="32"/>
          <w:szCs w:val="32"/>
        </w:rPr>
      </w:pPr>
      <w:r w:rsidRPr="00197F47">
        <w:rPr>
          <w:rFonts w:ascii="仿宋_GB2312" w:eastAsia="仿宋_GB2312" w:hint="eastAsia"/>
          <w:sz w:val="32"/>
          <w:szCs w:val="32"/>
        </w:rPr>
        <w:t xml:space="preserve">　　美国总统特朗普今年1月在白宫宣布，三家企业联手打造“星际之门”项目，投资5000亿美元用于在美国建设支持AI发展的基础设施。</w:t>
      </w:r>
    </w:p>
    <w:p w:rsidR="00197F47" w:rsidRPr="00197F47" w:rsidRDefault="003B0C8F" w:rsidP="00007AEF">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197F47" w:rsidRPr="00197F47">
        <w:rPr>
          <w:rFonts w:ascii="仿宋_GB2312" w:eastAsia="仿宋_GB2312" w:hint="eastAsia"/>
          <w:sz w:val="32"/>
          <w:szCs w:val="32"/>
        </w:rPr>
        <w:t>（来源：人民邮电报）</w:t>
      </w:r>
    </w:p>
    <w:p w:rsidR="00197F47" w:rsidRPr="00197F47" w:rsidRDefault="00197F47" w:rsidP="00007AEF">
      <w:pPr>
        <w:pStyle w:val="a5"/>
        <w:shd w:val="clear" w:color="auto" w:fill="FFFFFF"/>
        <w:spacing w:beforeAutospacing="0" w:afterAutospacing="0"/>
        <w:rPr>
          <w:rFonts w:ascii="仿宋_GB2312" w:eastAsia="仿宋_GB2312"/>
          <w:sz w:val="32"/>
          <w:szCs w:val="32"/>
        </w:rPr>
      </w:pPr>
    </w:p>
    <w:p w:rsidR="00824796" w:rsidRDefault="00824796" w:rsidP="00007AEF">
      <w:pPr>
        <w:pStyle w:val="a5"/>
        <w:shd w:val="clear" w:color="auto" w:fill="FFFFFF"/>
        <w:spacing w:beforeAutospacing="0" w:afterAutospacing="0"/>
        <w:rPr>
          <w:rFonts w:ascii="仿宋_GB2312" w:eastAsia="仿宋_GB2312"/>
          <w:sz w:val="32"/>
          <w:szCs w:val="32"/>
        </w:rPr>
      </w:pPr>
    </w:p>
    <w:p w:rsidR="002C3041" w:rsidRDefault="002C3041" w:rsidP="00007AEF">
      <w:pPr>
        <w:pStyle w:val="a5"/>
        <w:shd w:val="clear" w:color="auto" w:fill="FFFFFF"/>
        <w:spacing w:beforeAutospacing="0" w:afterAutospacing="0" w:line="540" w:lineRule="exact"/>
        <w:rPr>
          <w:rFonts w:ascii="仿宋_GB2312" w:eastAsia="仿宋_GB2312"/>
          <w:sz w:val="32"/>
          <w:szCs w:val="32"/>
        </w:rPr>
      </w:pPr>
    </w:p>
    <w:p w:rsidR="00B75926" w:rsidRDefault="00B75926" w:rsidP="00007AEF">
      <w:pPr>
        <w:pStyle w:val="a5"/>
        <w:shd w:val="clear" w:color="auto" w:fill="FFFFFF"/>
        <w:spacing w:beforeAutospacing="0" w:afterAutospacing="0" w:line="540" w:lineRule="exact"/>
        <w:rPr>
          <w:rFonts w:ascii="仿宋_GB2312" w:eastAsia="仿宋_GB2312"/>
          <w:sz w:val="32"/>
          <w:szCs w:val="32"/>
        </w:rPr>
      </w:pPr>
    </w:p>
    <w:p w:rsidR="009F0380" w:rsidRDefault="009F0380" w:rsidP="009F0380">
      <w:pPr>
        <w:pStyle w:val="a5"/>
        <w:shd w:val="clear" w:color="auto" w:fill="FFFFFF"/>
        <w:spacing w:beforeAutospacing="0" w:afterAutospacing="0" w:line="580" w:lineRule="exact"/>
        <w:rPr>
          <w:rFonts w:ascii="仿宋_GB2312" w:eastAsia="仿宋_GB2312"/>
          <w:sz w:val="32"/>
          <w:szCs w:val="32"/>
        </w:rPr>
      </w:pPr>
    </w:p>
    <w:p w:rsidR="00565F67" w:rsidRDefault="00565F67" w:rsidP="009F0380">
      <w:pPr>
        <w:pStyle w:val="a5"/>
        <w:shd w:val="clear" w:color="auto" w:fill="FFFFFF"/>
        <w:spacing w:beforeAutospacing="0" w:afterAutospacing="0" w:line="58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543725" w:rsidP="0057220B">
      <w:pPr>
        <w:pStyle w:val="a5"/>
        <w:shd w:val="clear" w:color="auto" w:fill="FFFFFF"/>
        <w:spacing w:beforeAutospacing="0" w:afterAutospacing="0" w:line="520" w:lineRule="exact"/>
        <w:jc w:val="both"/>
      </w:pPr>
      <w:r w:rsidRPr="00543725">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9FB" w:rsidRDefault="006D49FB">
      <w:pPr>
        <w:spacing w:line="240" w:lineRule="auto"/>
      </w:pPr>
      <w:r>
        <w:separator/>
      </w:r>
    </w:p>
  </w:endnote>
  <w:endnote w:type="continuationSeparator" w:id="0">
    <w:p w:rsidR="006D49FB" w:rsidRDefault="006D49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543725">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543725">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6D49FB">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543725">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9FB" w:rsidRDefault="006D49FB">
      <w:pPr>
        <w:spacing w:line="240" w:lineRule="auto"/>
      </w:pPr>
      <w:r>
        <w:separator/>
      </w:r>
    </w:p>
  </w:footnote>
  <w:footnote w:type="continuationSeparator" w:id="0">
    <w:p w:rsidR="006D49FB" w:rsidRDefault="006D49F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59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E4A"/>
    <w:rsid w:val="00016B62"/>
    <w:rsid w:val="0002306D"/>
    <w:rsid w:val="00037104"/>
    <w:rsid w:val="000401FA"/>
    <w:rsid w:val="00043996"/>
    <w:rsid w:val="00043A2A"/>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3009"/>
    <w:rsid w:val="0009686E"/>
    <w:rsid w:val="000A1E9B"/>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5019"/>
    <w:rsid w:val="001A6629"/>
    <w:rsid w:val="001B3870"/>
    <w:rsid w:val="001C23E0"/>
    <w:rsid w:val="001C3C77"/>
    <w:rsid w:val="001C4CDF"/>
    <w:rsid w:val="001C6608"/>
    <w:rsid w:val="001C79A6"/>
    <w:rsid w:val="001D05E7"/>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1975"/>
    <w:rsid w:val="00291BC4"/>
    <w:rsid w:val="002950BB"/>
    <w:rsid w:val="002A220E"/>
    <w:rsid w:val="002B0641"/>
    <w:rsid w:val="002C3041"/>
    <w:rsid w:val="002C31B4"/>
    <w:rsid w:val="002C31B8"/>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0C8F"/>
    <w:rsid w:val="003B13B3"/>
    <w:rsid w:val="003B2A16"/>
    <w:rsid w:val="003B3369"/>
    <w:rsid w:val="003B7D1A"/>
    <w:rsid w:val="003C1327"/>
    <w:rsid w:val="003C1347"/>
    <w:rsid w:val="003C7A29"/>
    <w:rsid w:val="003D264C"/>
    <w:rsid w:val="003D3B10"/>
    <w:rsid w:val="003D4D4C"/>
    <w:rsid w:val="003D5B3B"/>
    <w:rsid w:val="003E05F5"/>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4BB8"/>
    <w:rsid w:val="00527C18"/>
    <w:rsid w:val="00533A46"/>
    <w:rsid w:val="00534F83"/>
    <w:rsid w:val="00537D89"/>
    <w:rsid w:val="005411D3"/>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4885"/>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49FB"/>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C5935"/>
    <w:rsid w:val="008E2E74"/>
    <w:rsid w:val="008E5D3E"/>
    <w:rsid w:val="008F2B18"/>
    <w:rsid w:val="008F4A4D"/>
    <w:rsid w:val="00902033"/>
    <w:rsid w:val="0090716B"/>
    <w:rsid w:val="00917AF3"/>
    <w:rsid w:val="00920E2C"/>
    <w:rsid w:val="0092256C"/>
    <w:rsid w:val="00924DF2"/>
    <w:rsid w:val="00926E16"/>
    <w:rsid w:val="0093325A"/>
    <w:rsid w:val="00935017"/>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2F7C"/>
    <w:rsid w:val="009A4E45"/>
    <w:rsid w:val="009A4F3D"/>
    <w:rsid w:val="009A538D"/>
    <w:rsid w:val="009A6BB8"/>
    <w:rsid w:val="009A7E14"/>
    <w:rsid w:val="009B22AF"/>
    <w:rsid w:val="009B30F9"/>
    <w:rsid w:val="009B4690"/>
    <w:rsid w:val="009B64EB"/>
    <w:rsid w:val="009B6884"/>
    <w:rsid w:val="009C0365"/>
    <w:rsid w:val="009C0395"/>
    <w:rsid w:val="009C0525"/>
    <w:rsid w:val="009C31A6"/>
    <w:rsid w:val="009C3896"/>
    <w:rsid w:val="009C5ADD"/>
    <w:rsid w:val="009E0924"/>
    <w:rsid w:val="009E2166"/>
    <w:rsid w:val="009E2C0B"/>
    <w:rsid w:val="009E4F86"/>
    <w:rsid w:val="009E730C"/>
    <w:rsid w:val="009E7C7D"/>
    <w:rsid w:val="009E7DF2"/>
    <w:rsid w:val="009F0380"/>
    <w:rsid w:val="009F782B"/>
    <w:rsid w:val="00A01DD6"/>
    <w:rsid w:val="00A05437"/>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70C7"/>
    <w:rsid w:val="00AD7FEF"/>
    <w:rsid w:val="00AE1A98"/>
    <w:rsid w:val="00AE4C21"/>
    <w:rsid w:val="00AE7EA4"/>
    <w:rsid w:val="00AF116A"/>
    <w:rsid w:val="00AF138C"/>
    <w:rsid w:val="00B052CE"/>
    <w:rsid w:val="00B220F5"/>
    <w:rsid w:val="00B24BDE"/>
    <w:rsid w:val="00B2770C"/>
    <w:rsid w:val="00B30E44"/>
    <w:rsid w:val="00B40B9A"/>
    <w:rsid w:val="00B4194E"/>
    <w:rsid w:val="00B41DDA"/>
    <w:rsid w:val="00B4521B"/>
    <w:rsid w:val="00B46F1F"/>
    <w:rsid w:val="00B47746"/>
    <w:rsid w:val="00B523FB"/>
    <w:rsid w:val="00B52C8B"/>
    <w:rsid w:val="00B5320C"/>
    <w:rsid w:val="00B55DA6"/>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6868"/>
    <w:rsid w:val="00BF316F"/>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36C8"/>
    <w:rsid w:val="00C44F08"/>
    <w:rsid w:val="00C51009"/>
    <w:rsid w:val="00C5194D"/>
    <w:rsid w:val="00C52FF4"/>
    <w:rsid w:val="00C607DB"/>
    <w:rsid w:val="00C65EDF"/>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17A"/>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06D63"/>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B33CC"/>
    <w:rsid w:val="00FC11FF"/>
    <w:rsid w:val="00FC5781"/>
    <w:rsid w:val="00FD2A09"/>
    <w:rsid w:val="00FD61E4"/>
    <w:rsid w:val="00FE2509"/>
    <w:rsid w:val="00FE2DB7"/>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5</cp:revision>
  <cp:lastPrinted>2025-08-01T01:12:00Z</cp:lastPrinted>
  <dcterms:created xsi:type="dcterms:W3CDTF">2025-10-16T05:53:00Z</dcterms:created>
  <dcterms:modified xsi:type="dcterms:W3CDTF">2025-10-17T01:04:00Z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