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C74FAE">
        <w:rPr>
          <w:rFonts w:ascii="仿宋_GB2312" w:eastAsia="仿宋_GB2312" w:hAnsi="Gungsuh" w:hint="eastAsia"/>
          <w:b/>
          <w:sz w:val="36"/>
          <w:szCs w:val="44"/>
        </w:rPr>
        <w:t>3</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w:t>
      </w:r>
      <w:r w:rsidR="00C74FAE">
        <w:rPr>
          <w:rFonts w:ascii="仿宋_GB2312" w:eastAsia="仿宋_GB2312" w:hAnsi="宋体" w:hint="eastAsia"/>
          <w:b/>
          <w:sz w:val="36"/>
          <w:szCs w:val="44"/>
        </w:rPr>
        <w:t>7</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w:t>
      </w:r>
      <w:r w:rsidR="00C6020E">
        <w:rPr>
          <w:rFonts w:ascii="仿宋_GB2312" w:eastAsia="仿宋_GB2312" w:hAnsi="Gungsuh" w:hint="eastAsia"/>
          <w:b/>
          <w:sz w:val="32"/>
          <w:szCs w:val="32"/>
        </w:rPr>
        <w:t>1</w:t>
      </w:r>
      <w:r w:rsidR="00C32995">
        <w:rPr>
          <w:rFonts w:ascii="仿宋_GB2312" w:eastAsia="仿宋_GB2312" w:hAnsi="Gungsuh" w:hint="eastAsia"/>
          <w:b/>
          <w:sz w:val="32"/>
          <w:szCs w:val="32"/>
        </w:rPr>
        <w:t>月</w:t>
      </w:r>
      <w:r w:rsidR="00C74FAE">
        <w:rPr>
          <w:rFonts w:ascii="仿宋_GB2312" w:eastAsia="仿宋_GB2312" w:hAnsi="Gungsuh" w:hint="eastAsia"/>
          <w:b/>
          <w:sz w:val="32"/>
          <w:szCs w:val="32"/>
        </w:rPr>
        <w:t>14</w:t>
      </w:r>
      <w:r w:rsidR="00C32995">
        <w:rPr>
          <w:rFonts w:ascii="仿宋_GB2312" w:eastAsia="仿宋_GB2312" w:hAnsi="Gungsuh" w:hint="eastAsia"/>
          <w:b/>
          <w:sz w:val="32"/>
          <w:szCs w:val="32"/>
        </w:rPr>
        <w:t>日</w:t>
      </w:r>
    </w:p>
    <w:p w:rsidR="004D0412" w:rsidRDefault="00D20DBC">
      <w:pPr>
        <w:spacing w:line="400" w:lineRule="exact"/>
        <w:rPr>
          <w:rFonts w:ascii="仿宋_GB2312" w:eastAsia="仿宋_GB2312" w:hAnsi="Gungsuh"/>
          <w:b/>
          <w:sz w:val="32"/>
          <w:szCs w:val="32"/>
        </w:rPr>
      </w:pPr>
      <w:r w:rsidRPr="00D20DBC">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C4249F">
      <w:pPr>
        <w:pStyle w:val="2"/>
        <w:spacing w:line="460" w:lineRule="exact"/>
        <w:ind w:leftChars="0" w:left="418" w:hangingChars="130" w:hanging="418"/>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贵州省人工智能科普“双百行动”启动</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贵安新区三数据中心入选“2025年度国家绿色数据中心”名单</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小兰山数据标注基地揭牌运营</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国家数据局：在数据基础设施建设先行先试中加强场景应用</w:t>
      </w:r>
    </w:p>
    <w:p w:rsidR="007B7840"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福建10条措施推动人工智能产业发展</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山东出台方案加快人工智能赋能煤矿领域发展</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我国牵头制定的工业5G国际标准正式发布</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我国形成300余项6G关键技术储备</w:t>
      </w:r>
    </w:p>
    <w:p w:rsidR="004D0412" w:rsidRPr="00524BB8" w:rsidRDefault="004D0412" w:rsidP="004A4EBB">
      <w:pPr>
        <w:pStyle w:val="2"/>
        <w:spacing w:after="0" w:line="16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487357" w:rsidRPr="00487357">
        <w:rPr>
          <w:rFonts w:ascii="仿宋_GB2312" w:hint="eastAsia"/>
          <w:b/>
          <w:bCs/>
          <w:sz w:val="32"/>
          <w:szCs w:val="32"/>
        </w:rPr>
        <w:t>俄工业设计软件在困境中突围</w:t>
      </w:r>
    </w:p>
    <w:p w:rsidR="00A549C9" w:rsidRDefault="00A549C9" w:rsidP="001A5019">
      <w:pPr>
        <w:pStyle w:val="2"/>
        <w:spacing w:line="460" w:lineRule="exact"/>
        <w:ind w:leftChars="0" w:left="0" w:firstLineChars="0" w:firstLine="0"/>
        <w:jc w:val="left"/>
        <w:rPr>
          <w:rFonts w:ascii="仿宋_GB2312"/>
          <w:b/>
          <w:bCs/>
          <w:sz w:val="32"/>
          <w:szCs w:val="32"/>
        </w:rPr>
      </w:pPr>
    </w:p>
    <w:p w:rsidR="00B46904" w:rsidRPr="00B46904" w:rsidRDefault="00B46904" w:rsidP="00B46904">
      <w:pPr>
        <w:pStyle w:val="a5"/>
        <w:shd w:val="clear" w:color="auto" w:fill="FFFFFF"/>
        <w:spacing w:beforeAutospacing="0" w:afterAutospacing="0" w:line="600" w:lineRule="exact"/>
        <w:jc w:val="center"/>
        <w:rPr>
          <w:rFonts w:ascii="方正小标宋简体" w:eastAsia="方正小标宋简体" w:hint="eastAsia"/>
          <w:sz w:val="44"/>
          <w:szCs w:val="44"/>
        </w:rPr>
      </w:pPr>
      <w:r w:rsidRPr="00B46904">
        <w:rPr>
          <w:rFonts w:ascii="方正小标宋简体" w:eastAsia="方正小标宋简体" w:hint="eastAsia"/>
          <w:sz w:val="44"/>
          <w:szCs w:val="44"/>
        </w:rPr>
        <w:lastRenderedPageBreak/>
        <w:t>贵州省人工智能科普“双百行动”启动</w:t>
      </w:r>
    </w:p>
    <w:p w:rsidR="00B46904" w:rsidRPr="00B46904" w:rsidRDefault="00B46904" w:rsidP="00B46904">
      <w:pPr>
        <w:pStyle w:val="a5"/>
        <w:shd w:val="clear" w:color="auto" w:fill="FFFFFF"/>
        <w:spacing w:beforeAutospacing="0" w:afterAutospacing="0" w:line="600" w:lineRule="exact"/>
        <w:jc w:val="center"/>
        <w:rPr>
          <w:rFonts w:ascii="仿宋_GB2312" w:eastAsia="仿宋_GB2312" w:hint="eastAsia"/>
          <w:sz w:val="32"/>
          <w:szCs w:val="32"/>
        </w:rPr>
      </w:pPr>
      <w:r w:rsidRPr="00B46904">
        <w:rPr>
          <w:rFonts w:ascii="仿宋_GB2312" w:eastAsia="仿宋_GB2312" w:hint="eastAsia"/>
          <w:sz w:val="32"/>
          <w:szCs w:val="32"/>
        </w:rPr>
        <w:t>（2025-11-14）</w:t>
      </w:r>
    </w:p>
    <w:p w:rsidR="00B46904" w:rsidRPr="00B46904" w:rsidRDefault="00B46904" w:rsidP="00B46904">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11月10日，贵州省人工智能科普“双百行动”启动会暨首场科普培训活动在贵阳国际生态会议中心举行。</w:t>
      </w:r>
    </w:p>
    <w:p w:rsidR="00B46904" w:rsidRPr="00B46904" w:rsidRDefault="00B46904" w:rsidP="00B46904">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聚焦“知识普及”与“产业赋能”，“双百行动”将按照“分类施策”原则，针对机关干部、企业员工、在校学生、社会公众等群体，量身定制“政策解读、技术前沿、案例实践、技能提升”四位一体AI课程包，内容涵盖基本概念、核心技术、典型应用、伦理风险、人才培养等，自本季度起至2027年底，在全省9个市（州）有序开展100场宣讲，重点覆盖产业园区、重点企业、高等院校。同时，将组织专家走进百家以上企业进行问诊调研，根据企业行业属性与发展阶段，精准匹配专家小组，开展“一企一策”现场诊断，执行“需求调研—现场诊断—方案建议—跟踪回访”四步流程，为企业输出可落地的解决方案建议报告，同步建立“企业需求库”与“专家方案库”，推动问诊成果转化为实际生产力。</w:t>
      </w:r>
    </w:p>
    <w:p w:rsidR="00B46904" w:rsidRPr="00B46904" w:rsidRDefault="00B46904" w:rsidP="00B46904">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“双百行动”启动当天，贵州省软件行业协会专家、贵州师范学院AI教研中心副主任赵子英围绕人工智能基础、政策背景与典型应用作了首场科普培训，为“百场人工智能通识宣讲”拉开序幕。</w:t>
      </w:r>
    </w:p>
    <w:p w:rsidR="00B46904" w:rsidRDefault="00B46904" w:rsidP="00B46904">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省大数据局党组书记、局长，兼省政府副秘书长朱宗尧表示，当前，人工智能技术加速迭代演进，引发经济社会各领域各行业深刻变革，贵州大力发展人工智能，不仅是顺应时代潮流、抢占未来发展制高点的必然选择，更是建设数字经济发展创新区的关键驱动力。</w:t>
      </w:r>
    </w:p>
    <w:p w:rsidR="00B46904" w:rsidRPr="00B46904" w:rsidRDefault="00B46904" w:rsidP="00B46904">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B46904">
        <w:rPr>
          <w:rFonts w:ascii="仿宋_GB2312" w:eastAsia="仿宋_GB2312" w:hint="eastAsia"/>
          <w:sz w:val="32"/>
          <w:szCs w:val="32"/>
        </w:rPr>
        <w:t>（来源：贵州日报）</w:t>
      </w:r>
    </w:p>
    <w:p w:rsidR="00B46904" w:rsidRPr="00B46904" w:rsidRDefault="00B46904" w:rsidP="00C760A2">
      <w:pPr>
        <w:pStyle w:val="a5"/>
        <w:shd w:val="clear" w:color="auto" w:fill="FFFFFF"/>
        <w:spacing w:beforeAutospacing="0" w:afterAutospacing="0"/>
        <w:rPr>
          <w:rFonts w:ascii="仿宋_GB2312" w:eastAsia="仿宋_GB2312"/>
          <w:sz w:val="32"/>
          <w:szCs w:val="32"/>
        </w:rPr>
      </w:pPr>
    </w:p>
    <w:p w:rsidR="00C760A2" w:rsidRDefault="00C760A2" w:rsidP="00C760A2">
      <w:pPr>
        <w:pStyle w:val="a5"/>
        <w:shd w:val="clear" w:color="auto" w:fill="FFFFFF"/>
        <w:spacing w:beforeAutospacing="0" w:afterAutospacing="0" w:line="640" w:lineRule="exact"/>
        <w:jc w:val="center"/>
        <w:rPr>
          <w:rFonts w:ascii="方正小标宋简体" w:eastAsia="方正小标宋简体"/>
          <w:sz w:val="44"/>
          <w:szCs w:val="44"/>
        </w:rPr>
      </w:pPr>
      <w:r w:rsidRPr="00C760A2">
        <w:rPr>
          <w:rFonts w:ascii="方正小标宋简体" w:eastAsia="方正小标宋简体" w:hint="eastAsia"/>
          <w:sz w:val="44"/>
          <w:szCs w:val="44"/>
        </w:rPr>
        <w:t>贵安新区三数据中心入选“2025年度</w:t>
      </w:r>
    </w:p>
    <w:p w:rsidR="00C760A2" w:rsidRPr="00C760A2" w:rsidRDefault="00C760A2" w:rsidP="00C760A2">
      <w:pPr>
        <w:pStyle w:val="a5"/>
        <w:shd w:val="clear" w:color="auto" w:fill="FFFFFF"/>
        <w:spacing w:beforeAutospacing="0" w:afterAutospacing="0" w:line="640" w:lineRule="exact"/>
        <w:jc w:val="center"/>
        <w:rPr>
          <w:rFonts w:ascii="方正小标宋简体" w:eastAsia="方正小标宋简体"/>
          <w:sz w:val="44"/>
          <w:szCs w:val="44"/>
        </w:rPr>
      </w:pPr>
      <w:r w:rsidRPr="00C760A2">
        <w:rPr>
          <w:rFonts w:ascii="方正小标宋简体" w:eastAsia="方正小标宋简体" w:hint="eastAsia"/>
          <w:sz w:val="44"/>
          <w:szCs w:val="44"/>
        </w:rPr>
        <w:t>国家绿色数据中心”名单</w:t>
      </w:r>
    </w:p>
    <w:p w:rsidR="00C760A2" w:rsidRPr="00C760A2" w:rsidRDefault="00C760A2" w:rsidP="009A1570">
      <w:pPr>
        <w:pStyle w:val="a5"/>
        <w:shd w:val="clear" w:color="auto" w:fill="FFFFFF"/>
        <w:spacing w:beforeAutospacing="0" w:afterAutospacing="0"/>
        <w:jc w:val="center"/>
        <w:rPr>
          <w:rFonts w:ascii="仿宋_GB2312" w:eastAsia="仿宋_GB2312"/>
          <w:sz w:val="32"/>
          <w:szCs w:val="32"/>
        </w:rPr>
      </w:pPr>
      <w:r w:rsidRPr="00C760A2">
        <w:rPr>
          <w:rFonts w:ascii="仿宋_GB2312" w:eastAsia="仿宋_GB2312" w:hint="eastAsia"/>
          <w:sz w:val="32"/>
          <w:szCs w:val="32"/>
        </w:rPr>
        <w:t>（2025-11-13）</w:t>
      </w:r>
    </w:p>
    <w:p w:rsidR="00C760A2" w:rsidRPr="00C760A2" w:rsidRDefault="00C760A2" w:rsidP="009A1570">
      <w:pPr>
        <w:pStyle w:val="a5"/>
        <w:shd w:val="clear" w:color="auto" w:fill="FFFFFF"/>
        <w:spacing w:beforeAutospacing="0" w:afterAutospacing="0"/>
        <w:rPr>
          <w:rFonts w:ascii="仿宋_GB2312" w:eastAsia="仿宋_GB2312"/>
          <w:sz w:val="32"/>
          <w:szCs w:val="32"/>
        </w:rPr>
      </w:pPr>
      <w:r w:rsidRPr="00C760A2">
        <w:rPr>
          <w:rFonts w:ascii="仿宋_GB2312" w:eastAsia="仿宋_GB2312" w:hint="eastAsia"/>
          <w:sz w:val="32"/>
          <w:szCs w:val="32"/>
        </w:rPr>
        <w:t xml:space="preserve">    近日，工业和信息化部、国家发展改革委等六部委联合发布“2025年度国家绿色数据中心”名单，贵安新区再添新绩，中国电信云计算贵州信息园A9数据中心、国家电投集团贵安数据中心、南方电网绿色智慧数据中心榜上有名。</w:t>
      </w:r>
    </w:p>
    <w:p w:rsidR="009A1570" w:rsidRDefault="00C760A2" w:rsidP="009A1570">
      <w:pPr>
        <w:pStyle w:val="a5"/>
        <w:shd w:val="clear" w:color="auto" w:fill="FFFFFF"/>
        <w:spacing w:beforeAutospacing="0" w:afterAutospacing="0"/>
        <w:rPr>
          <w:rFonts w:ascii="仿宋_GB2312" w:eastAsia="仿宋_GB2312" w:hint="eastAsia"/>
          <w:sz w:val="32"/>
          <w:szCs w:val="32"/>
        </w:rPr>
      </w:pPr>
      <w:r w:rsidRPr="00C760A2">
        <w:rPr>
          <w:rFonts w:ascii="仿宋_GB2312" w:eastAsia="仿宋_GB2312" w:hint="eastAsia"/>
          <w:sz w:val="32"/>
          <w:szCs w:val="32"/>
        </w:rPr>
        <w:t xml:space="preserve">    作为贵安新区第一家启动建设、第一家投产的数据中心，中国电信云计算贵州信息园自2013年启动建设以来，实现了从6栋机楼到15栋机楼的规模跃升，智算能力从零增长至10000</w:t>
      </w:r>
    </w:p>
    <w:p w:rsidR="00C760A2" w:rsidRPr="00C760A2" w:rsidRDefault="00C760A2" w:rsidP="009A1570">
      <w:pPr>
        <w:pStyle w:val="a5"/>
        <w:shd w:val="clear" w:color="auto" w:fill="FFFFFF"/>
        <w:spacing w:beforeAutospacing="0" w:afterAutospacing="0"/>
        <w:rPr>
          <w:rFonts w:ascii="仿宋_GB2312" w:eastAsia="仿宋_GB2312"/>
          <w:sz w:val="32"/>
          <w:szCs w:val="32"/>
        </w:rPr>
      </w:pPr>
      <w:r w:rsidRPr="00C760A2">
        <w:rPr>
          <w:rFonts w:ascii="仿宋_GB2312" w:eastAsia="仿宋_GB2312" w:hint="eastAsia"/>
          <w:sz w:val="32"/>
          <w:szCs w:val="32"/>
        </w:rPr>
        <w:t>PFLops，能源利用效率（PUE）从1.35降至1.2以下，在集约建设、低碳发展领域多次斩获国家级荣誉。该园区通过机房气流优化、新风合理利用等技术与管理创新，年节约电量超1000万度，此次入选，更是对其长期坚持绿色发展的再肯定。</w:t>
      </w:r>
    </w:p>
    <w:p w:rsidR="00C760A2" w:rsidRPr="00C760A2" w:rsidRDefault="00C760A2" w:rsidP="009A1570">
      <w:pPr>
        <w:pStyle w:val="a5"/>
        <w:shd w:val="clear" w:color="auto" w:fill="FFFFFF"/>
        <w:spacing w:beforeAutospacing="0" w:afterAutospacing="0"/>
        <w:rPr>
          <w:rFonts w:ascii="仿宋_GB2312" w:eastAsia="仿宋_GB2312"/>
          <w:sz w:val="32"/>
          <w:szCs w:val="32"/>
        </w:rPr>
      </w:pPr>
      <w:r w:rsidRPr="00C760A2">
        <w:rPr>
          <w:rFonts w:ascii="仿宋_GB2312" w:eastAsia="仿宋_GB2312" w:hint="eastAsia"/>
          <w:sz w:val="32"/>
          <w:szCs w:val="32"/>
        </w:rPr>
        <w:t xml:space="preserve">    国家电投集团贵安数据中心作为国家电投集团数字化转型的核心支撑，已通过国家A级数据中心认证。目前，该中心已建成1450个机柜，上架服务器1900余台。2025年初，国家电投集团全国区域公司自建机房整合工作正式启动，预计2026年底完成全部系统迁移至贵安数据中心，届时将形成近千个机柜的规模化运营，上架率将升至70%。在绿色与智能融合发展上，该中心通过屋顶光伏、智慧能源管理、制冷动态调整等技术实现节能降耗。同时联动贵州金元集团形成“算力+电力”协同效应，构建起“数据存储—能源调度—智能运维”闭环生态。</w:t>
      </w:r>
    </w:p>
    <w:p w:rsidR="00C760A2" w:rsidRPr="00C760A2" w:rsidRDefault="00C760A2" w:rsidP="009A1570">
      <w:pPr>
        <w:pStyle w:val="a5"/>
        <w:shd w:val="clear" w:color="auto" w:fill="FFFFFF"/>
        <w:spacing w:beforeAutospacing="0" w:afterAutospacing="0"/>
        <w:rPr>
          <w:rFonts w:ascii="仿宋_GB2312" w:eastAsia="仿宋_GB2312"/>
          <w:sz w:val="32"/>
          <w:szCs w:val="32"/>
        </w:rPr>
      </w:pPr>
      <w:r w:rsidRPr="00C760A2">
        <w:rPr>
          <w:rFonts w:ascii="仿宋_GB2312" w:eastAsia="仿宋_GB2312" w:hint="eastAsia"/>
          <w:sz w:val="32"/>
          <w:szCs w:val="32"/>
        </w:rPr>
        <w:t xml:space="preserve">    南方电网绿色智慧数据中心（南方能源大数据中心）是南方电网公司“3+1+X”数据中心布局的核心网级节点。项目一期于2025年5月底竣工验收，目前500个机柜已进入上架试运营阶段。未来，该中心将重点聚焦数字政府、新型电力系统应用，打造“碳交易”“碳追踪”等能源大数据产品，为政府能源监管与宏观经济分析提供有力支撑，进一步完善贵安新区能源与数据融合发展生态。</w:t>
      </w:r>
    </w:p>
    <w:p w:rsidR="00C760A2" w:rsidRDefault="00C760A2" w:rsidP="009A1570">
      <w:pPr>
        <w:pStyle w:val="a5"/>
        <w:shd w:val="clear" w:color="auto" w:fill="FFFFFF"/>
        <w:spacing w:beforeAutospacing="0" w:afterAutospacing="0"/>
        <w:rPr>
          <w:rFonts w:ascii="仿宋_GB2312" w:eastAsia="仿宋_GB2312"/>
          <w:sz w:val="32"/>
          <w:szCs w:val="32"/>
        </w:rPr>
      </w:pPr>
      <w:r w:rsidRPr="00C760A2">
        <w:rPr>
          <w:rFonts w:ascii="仿宋_GB2312" w:eastAsia="仿宋_GB2312" w:hint="eastAsia"/>
          <w:sz w:val="32"/>
          <w:szCs w:val="32"/>
        </w:rPr>
        <w:t xml:space="preserve">    据悉，作为“中国数谷”，截至2025年6月，贵阳贵安已累计引进大型及以上数据（算力）中心26个，设立全球首个大数据交易所，算力总规模超100EFlops，智算占比超98%，成为全国算力规模最大、智算能力最强的区域之一，也是首个国家大数据及网络安全示范试点城市。此次三家数据中心入选前，贵安新区已有中国移动（贵阳）贵安数据中心B1栋、贵安华为云数据中心（云上屯 C2）等多个数据中心获评国家绿色数据中心，绿色算力集群效应持续凸显。</w:t>
      </w:r>
    </w:p>
    <w:p w:rsidR="00C760A2" w:rsidRPr="00C760A2" w:rsidRDefault="00C760A2" w:rsidP="009A1570">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C760A2">
        <w:rPr>
          <w:rFonts w:ascii="仿宋_GB2312" w:eastAsia="仿宋_GB2312" w:hint="eastAsia"/>
          <w:sz w:val="32"/>
          <w:szCs w:val="32"/>
        </w:rPr>
        <w:t>（来源：贵阳日报）</w:t>
      </w:r>
    </w:p>
    <w:p w:rsidR="00C760A2" w:rsidRPr="00C760A2" w:rsidRDefault="00C760A2" w:rsidP="009A1570">
      <w:pPr>
        <w:pStyle w:val="a5"/>
        <w:shd w:val="clear" w:color="auto" w:fill="FFFFFF"/>
        <w:spacing w:beforeAutospacing="0" w:afterAutospacing="0"/>
        <w:rPr>
          <w:rFonts w:ascii="仿宋_GB2312" w:eastAsia="仿宋_GB2312"/>
          <w:sz w:val="32"/>
          <w:szCs w:val="32"/>
        </w:rPr>
      </w:pPr>
    </w:p>
    <w:p w:rsidR="00C760A2" w:rsidRPr="00C760A2" w:rsidRDefault="00C760A2" w:rsidP="00B46904">
      <w:pPr>
        <w:pStyle w:val="a5"/>
        <w:shd w:val="clear" w:color="auto" w:fill="FFFFFF"/>
        <w:spacing w:beforeAutospacing="0" w:afterAutospacing="0" w:line="600" w:lineRule="exact"/>
        <w:jc w:val="center"/>
        <w:rPr>
          <w:rFonts w:ascii="方正小标宋简体" w:eastAsia="方正小标宋简体"/>
          <w:sz w:val="44"/>
          <w:szCs w:val="44"/>
        </w:rPr>
      </w:pPr>
      <w:r w:rsidRPr="00C760A2">
        <w:rPr>
          <w:rFonts w:ascii="方正小标宋简体" w:eastAsia="方正小标宋简体" w:hint="eastAsia"/>
          <w:sz w:val="44"/>
          <w:szCs w:val="44"/>
        </w:rPr>
        <w:t>小兰山数据标注基地揭牌运营</w:t>
      </w:r>
    </w:p>
    <w:p w:rsidR="00C760A2" w:rsidRPr="00C760A2" w:rsidRDefault="00C760A2" w:rsidP="00B46904">
      <w:pPr>
        <w:pStyle w:val="a5"/>
        <w:shd w:val="clear" w:color="auto" w:fill="FFFFFF"/>
        <w:spacing w:beforeAutospacing="0" w:afterAutospacing="0" w:line="600" w:lineRule="exact"/>
        <w:jc w:val="center"/>
        <w:rPr>
          <w:rFonts w:ascii="仿宋_GB2312" w:eastAsia="仿宋_GB2312"/>
          <w:sz w:val="32"/>
          <w:szCs w:val="32"/>
        </w:rPr>
      </w:pPr>
      <w:r w:rsidRPr="00C760A2">
        <w:rPr>
          <w:rFonts w:ascii="仿宋_GB2312" w:eastAsia="仿宋_GB2312" w:hint="eastAsia"/>
          <w:sz w:val="32"/>
          <w:szCs w:val="32"/>
        </w:rPr>
        <w:t>（2025-11-10）</w:t>
      </w:r>
    </w:p>
    <w:p w:rsidR="00C760A2" w:rsidRPr="00C760A2" w:rsidRDefault="00C760A2" w:rsidP="00B46904">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11月7日，位于观山湖区百花湖镇石操村的小兰山数据标注基地正式揭牌启用。该基地是观山湖区探索“数字经济赋能乡村振兴”的示范性项目，采用“公司+村集体”合作模式建设运营，旨在推动数字产业下沉，促进乡村产业升级与人才集聚。</w:t>
      </w:r>
    </w:p>
    <w:p w:rsidR="00C760A2" w:rsidRPr="00C760A2" w:rsidRDefault="00C760A2" w:rsidP="00B46904">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基地坐落于小兰山“一带一核三区”数据标注与文旅聚集区，总建筑面积逾2300平方米，配备300个标准化标注工位、647个床位及完善的办公、培训、洽谈与休闲空间，形成“办公+培训+洽谈”一体化的数字服务空间。</w:t>
      </w:r>
    </w:p>
    <w:p w:rsidR="00C760A2" w:rsidRPr="00C760A2" w:rsidRDefault="00C760A2" w:rsidP="00B46904">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在揭牌仪式上，观山湖区委、区政府相关领导、区属部门负责人、高校代表及20余家数字企业代表共同出席。贵阳观山湖人才发展有限公司董事长潘奇介绍了基地的区位优势、资源整合与运营模式，强调将通过“标注服务输出+专业人才培训+产业资源对接”的一体化服务体系，打造“本地培养、本地就业”的人才闭环。</w:t>
      </w:r>
    </w:p>
    <w:p w:rsidR="00C760A2" w:rsidRPr="00C760A2" w:rsidRDefault="00C760A2" w:rsidP="00B46904">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作为首批入驻企业，贵州数致协同科技有限公司总经理陈子豪分享了基地的业务布局与技术路径。他表示，公司已与长安、比亚迪、科大讯飞等13家头部企业建立合作，拥有1.21亿元订单储备，未来将围绕“培训—实训—持证—就业”打造人才闭环，并携手零一万物等合作伙伴，推进智能标注工具与多模态数据平台建设，提升复杂场景下的标注效率与质量。</w:t>
      </w:r>
    </w:p>
    <w:p w:rsidR="00C760A2" w:rsidRPr="00C760A2" w:rsidRDefault="00C760A2" w:rsidP="00B46904">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据悉，基地目前人员规模为50人，截至11月产值已达30万元。预计至2025年底将扩展至150人，实现产值120万元；2026年突破300人，产值达2000万元。基地已与贵州理工学院、贵州财经大学等10余所高校建立校企合作，计划每年定向培养标注人才500人以上，重点吸纳高校毕业生与返乡青年就业。</w:t>
      </w:r>
    </w:p>
    <w:p w:rsidR="00C760A2" w:rsidRDefault="00C760A2" w:rsidP="00B46904">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小兰山数据标注基地的建成，不仅是观山湖区推动数字产业与乡村振兴深度融合的重要举措，也为全省数字产业下沉乡村提供了可复制、可推广的实践样本。未来，基地将持续强化“政—校—企—村”协同机制，打造技术领先、人才集聚、生态完善的数字标注示范区，为观山湖区乃至贵州省的数字经济发展注入新动能。</w:t>
      </w:r>
    </w:p>
    <w:p w:rsidR="00C760A2" w:rsidRPr="00C760A2" w:rsidRDefault="00C760A2" w:rsidP="00B46904">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C760A2">
        <w:rPr>
          <w:rFonts w:ascii="仿宋_GB2312" w:eastAsia="仿宋_GB2312" w:hint="eastAsia"/>
          <w:sz w:val="32"/>
          <w:szCs w:val="32"/>
        </w:rPr>
        <w:t>（来源：贵州日报报刊社）</w:t>
      </w:r>
    </w:p>
    <w:p w:rsidR="00C760A2" w:rsidRDefault="00C760A2" w:rsidP="00C760A2">
      <w:pPr>
        <w:pStyle w:val="a5"/>
        <w:shd w:val="clear" w:color="auto" w:fill="FFFFFF"/>
        <w:spacing w:beforeAutospacing="0" w:afterAutospacing="0"/>
        <w:rPr>
          <w:rFonts w:ascii="仿宋_GB2312" w:eastAsia="仿宋_GB2312" w:hint="eastAsia"/>
          <w:sz w:val="32"/>
          <w:szCs w:val="32"/>
        </w:rPr>
      </w:pPr>
    </w:p>
    <w:p w:rsidR="00B46904" w:rsidRDefault="00B46904" w:rsidP="00B46904">
      <w:pPr>
        <w:pStyle w:val="a5"/>
        <w:shd w:val="clear" w:color="auto" w:fill="FFFFFF"/>
        <w:spacing w:beforeAutospacing="0" w:afterAutospacing="0" w:line="640" w:lineRule="exact"/>
        <w:jc w:val="center"/>
        <w:rPr>
          <w:rFonts w:ascii="方正小标宋简体" w:eastAsia="方正小标宋简体" w:hint="eastAsia"/>
          <w:sz w:val="44"/>
          <w:szCs w:val="44"/>
        </w:rPr>
      </w:pPr>
      <w:r w:rsidRPr="00B46904">
        <w:rPr>
          <w:rFonts w:ascii="方正小标宋简体" w:eastAsia="方正小标宋简体" w:hint="eastAsia"/>
          <w:sz w:val="44"/>
          <w:szCs w:val="44"/>
        </w:rPr>
        <w:t>国家数据局：在数据基础设施建设</w:t>
      </w:r>
    </w:p>
    <w:p w:rsidR="00B46904" w:rsidRPr="00B46904" w:rsidRDefault="00B46904" w:rsidP="00B46904">
      <w:pPr>
        <w:pStyle w:val="a5"/>
        <w:shd w:val="clear" w:color="auto" w:fill="FFFFFF"/>
        <w:spacing w:beforeAutospacing="0" w:afterAutospacing="0" w:line="640" w:lineRule="exact"/>
        <w:jc w:val="center"/>
        <w:rPr>
          <w:rFonts w:ascii="方正小标宋简体" w:eastAsia="方正小标宋简体" w:hint="eastAsia"/>
          <w:sz w:val="44"/>
          <w:szCs w:val="44"/>
        </w:rPr>
      </w:pPr>
      <w:r w:rsidRPr="00B46904">
        <w:rPr>
          <w:rFonts w:ascii="方正小标宋简体" w:eastAsia="方正小标宋简体" w:hint="eastAsia"/>
          <w:sz w:val="44"/>
          <w:szCs w:val="44"/>
        </w:rPr>
        <w:t>先行先试中加强场景应用</w:t>
      </w:r>
    </w:p>
    <w:p w:rsidR="00B46904" w:rsidRPr="00B46904" w:rsidRDefault="00B46904" w:rsidP="009A1570">
      <w:pPr>
        <w:pStyle w:val="a5"/>
        <w:shd w:val="clear" w:color="auto" w:fill="FFFFFF"/>
        <w:spacing w:beforeAutospacing="0" w:afterAutospacing="0" w:line="600" w:lineRule="exact"/>
        <w:jc w:val="center"/>
        <w:rPr>
          <w:rFonts w:ascii="仿宋_GB2312" w:eastAsia="仿宋_GB2312" w:hint="eastAsia"/>
          <w:sz w:val="32"/>
          <w:szCs w:val="32"/>
        </w:rPr>
      </w:pPr>
      <w:r w:rsidRPr="00B46904">
        <w:rPr>
          <w:rFonts w:ascii="仿宋_GB2312" w:eastAsia="仿宋_GB2312" w:hint="eastAsia"/>
          <w:sz w:val="32"/>
          <w:szCs w:val="32"/>
        </w:rPr>
        <w:t>（2025-11-10）</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近日，国家数据局印发《关于在国家数据基础设施建设先行先试中加强场景应用的实施方案》（以下简称《实施方案》），提出以场景建设、技术创新牵引驱动国家数据基础设施高水平建设和高质量发展。</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加强场景建设是推动数据基础设施从“建得好”向“用得好”转变的重要抓手，是培育全国一体化数据市场、释放数据要素价值的关键路径。要以用促建，强化场景应用对国家数据基础设施建设的牵引作用，通过场景应用驱动设施功能完善、促进设施迭代升级，确保设施建设与实际需要同频共振，将数据基础设施潜能转化为实际效能。要以建保用，依托数据基础设施开展数据高效汇聚共享、流通交易、开发利用，支撑跨主体协同、高性能调用、高安全保障，提升国家数据基础设施对场景落地的支撑能力，激发数据在跨区域、跨主体、跨平台流通利用中的创新活力。</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在公共数据授权运营方面，《实施方案》提出，依托数据基础设施支撑公共数据登记、加工处理、授权运营、流通定价、收益分配等制度机制落地。发挥数据基础设施对各类数据的融合应用作用，为交通物流、医疗健康、基层治理、气象服务等领域公共数据“跑起来”示范场景建设提供安全可信环境。支持公共数据按照“原始数据不出域、数据可用不可见、数据可控可计量”等要求，以数据专区、分层解耦、跨域共用、分级共享等形式向社会提供。</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在行业典型应用方面，《实施方案》提出，依托数据基础设施支撑工业制造、现代农业、文化旅游等领域“数据要素×”典型场景落地，激发数据要素乘数效应。包括但不限于发挥数据在金融业服务优化、产品创新、普惠覆盖、风险管控、生态重构等方面作用，为实现普惠金融提供有效支撑；发挥数据在柔性生产、创新研发、协同供应链、智能决策、绿色转型等方面作用，推动制造业全要素、全流程、全产业链重构；通过AIGC内容共创提升文旅内容生产效率，支撑沉浸式文旅、线上展览、云端演出等场景落地，孵化文旅新业态等。</w:t>
      </w:r>
    </w:p>
    <w:p w:rsid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在探索拓展创新应用场景方面，《实施方案》提出，鼓励依托数据基础设施开展数据智能封装、可信高速传输、多模态全域存储等前沿技术探索和创新场景建设。支持龙头企业、科研机构依托数据基础设施联合开展前沿技术适配验证，为场景规模化推广提供技术支撑。</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B46904">
        <w:rPr>
          <w:rFonts w:ascii="仿宋_GB2312" w:eastAsia="仿宋_GB2312" w:hint="eastAsia"/>
          <w:sz w:val="32"/>
          <w:szCs w:val="32"/>
        </w:rPr>
        <w:t>（来源：人民邮电报）</w:t>
      </w:r>
    </w:p>
    <w:p w:rsid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p>
    <w:p w:rsidR="00015D36" w:rsidRPr="00015D36" w:rsidRDefault="00015D36" w:rsidP="009A1570">
      <w:pPr>
        <w:pStyle w:val="a5"/>
        <w:shd w:val="clear" w:color="auto" w:fill="FFFFFF"/>
        <w:spacing w:beforeAutospacing="0" w:afterAutospacing="0" w:line="600" w:lineRule="exact"/>
        <w:jc w:val="center"/>
        <w:rPr>
          <w:rFonts w:ascii="方正小标宋简体" w:eastAsia="方正小标宋简体"/>
          <w:sz w:val="44"/>
          <w:szCs w:val="44"/>
        </w:rPr>
      </w:pPr>
      <w:r w:rsidRPr="00015D36">
        <w:rPr>
          <w:rFonts w:ascii="方正小标宋简体" w:eastAsia="方正小标宋简体" w:hint="eastAsia"/>
          <w:sz w:val="44"/>
          <w:szCs w:val="44"/>
        </w:rPr>
        <w:t>福建10条措施推动人工智能产业发展</w:t>
      </w:r>
    </w:p>
    <w:p w:rsidR="00015D36" w:rsidRPr="00C760A2" w:rsidRDefault="00015D36" w:rsidP="009A1570">
      <w:pPr>
        <w:pStyle w:val="a5"/>
        <w:shd w:val="clear" w:color="auto" w:fill="FFFFFF"/>
        <w:spacing w:beforeAutospacing="0" w:afterAutospacing="0" w:line="600" w:lineRule="exact"/>
        <w:jc w:val="center"/>
        <w:rPr>
          <w:rFonts w:ascii="仿宋_GB2312" w:eastAsia="仿宋_GB2312"/>
          <w:sz w:val="32"/>
          <w:szCs w:val="32"/>
        </w:rPr>
      </w:pPr>
      <w:r w:rsidRPr="00C760A2">
        <w:rPr>
          <w:rFonts w:ascii="仿宋_GB2312" w:eastAsia="仿宋_GB2312" w:hint="eastAsia"/>
          <w:sz w:val="32"/>
          <w:szCs w:val="32"/>
        </w:rPr>
        <w:t>（2025-11-10）</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近日，《福建省推动人工智能产业发展和赋能应用若干措施》出台，围绕支持人工智能模型攻关、技术研发、创新平台、赋能应用、企业培育、园区发展、普惠算力、数据供给、人才引育和产业生态等方面，提出10条政策措施。</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若干措施》明确，支持行业模型攻关，促进研发创新落地，打造行业创新平台。支持企业、高校、科研院所开展行业垂直模型产学研用攻关，遴选优质行业垂直模型，按项目推进实效分阶段给予单个项目最高1000万元补助。支持开发新一代智能终端、智能体等新技术新产品，遴选人工智能优质产品，每个产品给予一次性50万元奖励。引导企业、高校、科研院所等共建人工智能创新平台，遴选优质平台。对平台牵头建设单位，按不超过平台建设实际投入50%的比例，给予一次性最高500万元补助。</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若干措施》提出，引导企业做大做强，加快园区发展建设，优化普惠算力服务，注重人才引进培育。实施人工智能领域企业梯次培育计划，加强动态跟踪和培育服务，遴选人工智能优质企业，给予每个企业一次性最高300万元奖励。福州、厦门、泉州3个省级人工智能产业园，未来3年各扶持开发50个以上智能体或智能终端产品。每年各安排不超过1000万元专项资金，支持省级人工智能产业园开展产业招商、项目路演和供需对接等。对年度购买算力服务总额达到10万元（含）以上的企业，按照当年实际购买服务费用不超过50%的比例给予补助，单家企业最高补助50万元。支持组建人工智能产业链特聘专家团并给予经费支持。建立人工智能产业骨干企业清单，建立核心工程师名册，给予每人每年20万元奖补。</w:t>
      </w:r>
    </w:p>
    <w:p w:rsidR="00015D36"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若干措施》强调，推动行业赋能应用，强化数据资源供给，培育良好产业生态。深化“智赋百景”行动，教育、住建、交通运输、文旅、医疗等行业主管部门每年各提供10个以上应用场景。结合人工智能需求，每年推动开发10个以上高质量数据集。对入选的省数据要素产业园，按规定给予奖励。</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C760A2">
        <w:rPr>
          <w:rFonts w:ascii="仿宋_GB2312" w:eastAsia="仿宋_GB2312" w:hint="eastAsia"/>
          <w:sz w:val="32"/>
          <w:szCs w:val="32"/>
        </w:rPr>
        <w:t>（来源：福建日报）</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p>
    <w:p w:rsidR="00015D36" w:rsidRPr="00015D36" w:rsidRDefault="00015D36" w:rsidP="009A1570">
      <w:pPr>
        <w:pStyle w:val="a5"/>
        <w:shd w:val="clear" w:color="auto" w:fill="FFFFFF"/>
        <w:spacing w:beforeAutospacing="0" w:afterAutospacing="0" w:line="600" w:lineRule="exact"/>
        <w:jc w:val="center"/>
        <w:rPr>
          <w:rFonts w:ascii="方正小标宋简体" w:eastAsia="方正小标宋简体"/>
          <w:sz w:val="43"/>
          <w:szCs w:val="43"/>
        </w:rPr>
      </w:pPr>
      <w:r w:rsidRPr="00015D36">
        <w:rPr>
          <w:rFonts w:ascii="方正小标宋简体" w:eastAsia="方正小标宋简体" w:hint="eastAsia"/>
          <w:sz w:val="43"/>
          <w:szCs w:val="43"/>
        </w:rPr>
        <w:t>山东出台方案加快人工智能赋能煤矿领域发展</w:t>
      </w:r>
    </w:p>
    <w:p w:rsidR="00015D36" w:rsidRPr="00C760A2" w:rsidRDefault="00015D36" w:rsidP="009A1570">
      <w:pPr>
        <w:pStyle w:val="a5"/>
        <w:shd w:val="clear" w:color="auto" w:fill="FFFFFF"/>
        <w:spacing w:beforeAutospacing="0" w:afterAutospacing="0" w:line="600" w:lineRule="exact"/>
        <w:jc w:val="center"/>
        <w:rPr>
          <w:rFonts w:ascii="仿宋_GB2312" w:eastAsia="仿宋_GB2312"/>
          <w:sz w:val="32"/>
          <w:szCs w:val="32"/>
        </w:rPr>
      </w:pPr>
      <w:r w:rsidRPr="00C760A2">
        <w:rPr>
          <w:rFonts w:ascii="仿宋_GB2312" w:eastAsia="仿宋_GB2312" w:hint="eastAsia"/>
          <w:sz w:val="32"/>
          <w:szCs w:val="32"/>
        </w:rPr>
        <w:t>（2025-11-12）</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近日，</w:t>
      </w:r>
      <w:r w:rsidR="001D0A6F">
        <w:rPr>
          <w:rFonts w:ascii="仿宋_GB2312" w:eastAsia="仿宋_GB2312" w:hint="eastAsia"/>
          <w:sz w:val="32"/>
          <w:szCs w:val="32"/>
        </w:rPr>
        <w:t>山东</w:t>
      </w:r>
      <w:r w:rsidRPr="00C760A2">
        <w:rPr>
          <w:rFonts w:ascii="仿宋_GB2312" w:eastAsia="仿宋_GB2312" w:hint="eastAsia"/>
          <w:sz w:val="32"/>
          <w:szCs w:val="32"/>
        </w:rPr>
        <w:t>省能源局与国家矿山安全监察局山东局联合印发《关于加快人工智能赋能煤矿领域高质量发展的行动方案》，明确提出到2027年实现全省煤矿人工智能场景全覆盖、煤炭智能化开采产量占比超95%的目标。</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围绕智能化转型核心诉求，《方案》聚焦智能化建设，明确以“机械化换人、自动化减人、智能化无人”为核心导向，升级智能采掘装备体系，扩大井下巡检、井筒检修等危险岗位机器人应用范围，构建全流程安全高效生产模式。聚焦AI基础支撑，提出构建“专用网络+算力设施+行业数据集+垂直大模型”的全链条支撑体系，实现全省煤矿AI系统集中管控。聚焦场景深化应用，提出重点推动AI技术在智能防控、灾害预警、设备运维和知识应用四大领域的深度渗透。</w:t>
      </w:r>
    </w:p>
    <w:p w:rsidR="00015D36"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为确保转型任务稳步落地，《方案》设定了清晰的“三步走”推进时间表，明确到2025年实现煤炭智能化开采产量占比90%，培育一批可复制推广的智能化标杆煤矿；2026年完成省属及重点市属煤矿关键区域人工智能场景建设，形成区域性示范效应；2027年全面达成全省煤矿AI场景全覆盖，智能化开采产量占比突破95%，危险繁重岗位智能装备与机器人替代率实现质的提升。同时，明确“体系建设+人才支撑+资金扶持”三大保障举措，通过健全标准规范体系、培育复合型技术人才、加大专项资金投入，形成多方协同推进格局，通过“试点先行—标准提炼—规模复制”的路径，为全国煤矿智能化提供可借鉴的“山东经验”。</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C760A2">
        <w:rPr>
          <w:rFonts w:ascii="仿宋_GB2312" w:eastAsia="仿宋_GB2312" w:hint="eastAsia"/>
          <w:sz w:val="32"/>
          <w:szCs w:val="32"/>
        </w:rPr>
        <w:t>（来源：大众日报）</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p>
    <w:p w:rsidR="00015D36" w:rsidRPr="00015D36" w:rsidRDefault="00015D36" w:rsidP="009A1570">
      <w:pPr>
        <w:pStyle w:val="a5"/>
        <w:shd w:val="clear" w:color="auto" w:fill="FFFFFF"/>
        <w:spacing w:beforeAutospacing="0" w:afterAutospacing="0" w:line="600" w:lineRule="exact"/>
        <w:jc w:val="center"/>
        <w:rPr>
          <w:rFonts w:ascii="方正小标宋简体" w:eastAsia="方正小标宋简体"/>
          <w:sz w:val="44"/>
          <w:szCs w:val="44"/>
        </w:rPr>
      </w:pPr>
      <w:r w:rsidRPr="00015D36">
        <w:rPr>
          <w:rFonts w:ascii="方正小标宋简体" w:eastAsia="方正小标宋简体" w:hint="eastAsia"/>
          <w:sz w:val="44"/>
          <w:szCs w:val="44"/>
        </w:rPr>
        <w:t>我国牵头制定的工业5G国际标准正式发布</w:t>
      </w:r>
    </w:p>
    <w:p w:rsidR="00015D36" w:rsidRPr="00C760A2" w:rsidRDefault="00015D36" w:rsidP="009A1570">
      <w:pPr>
        <w:pStyle w:val="a5"/>
        <w:shd w:val="clear" w:color="auto" w:fill="FFFFFF"/>
        <w:spacing w:beforeAutospacing="0" w:afterAutospacing="0" w:line="600" w:lineRule="exact"/>
        <w:jc w:val="center"/>
        <w:rPr>
          <w:rFonts w:ascii="仿宋_GB2312" w:eastAsia="仿宋_GB2312"/>
          <w:sz w:val="32"/>
          <w:szCs w:val="32"/>
        </w:rPr>
      </w:pPr>
      <w:r w:rsidRPr="00C760A2">
        <w:rPr>
          <w:rFonts w:ascii="仿宋_GB2312" w:eastAsia="仿宋_GB2312" w:hint="eastAsia"/>
          <w:sz w:val="32"/>
          <w:szCs w:val="32"/>
        </w:rPr>
        <w:t>（2025-11-07）</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11月6日，市场监管总局消息显示，近日，国际电工委员会（IEC）正式发布全球首个工业5G国际标准《工业网络 5G通信技术 通用要求》。该标准由中国与德国联合提出，由美国、法国、日本等多国专家协同攻关、共同研制完成，填补了工业5G领域国际标准的空白。</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据介绍，当前，5G与工业的深度融合已成为推动全球工业数字化、网络化、智能化转型的核心引擎。该标准聚焦5G网络在工业现场应用的基本架构、工作机制与维护管理，提供了多种5G与工业现场融合的应用场景用例，适用于5G工业无线通信系统从规划、设计、建设到优化的全生命周期，为国内外用户、设计单位及设备制造商在工业环境中部署和应用5G技术提供了统一的技术规范。</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事实上，近几年，我国信息通信行业发展成效显著，5G应用已融入千行百业，算力规模居全球第二。生产领域，全国“5G+工业互联网”建设项目超过2万个，一批“无人矿山”“黑灯工厂”“智慧港口”等新模式、新业态逐步壮大。</w:t>
      </w:r>
    </w:p>
    <w:p w:rsidR="00015D36" w:rsidRDefault="00015D36"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市场监管总局表示，该标准的发布，标志着我国在“5G+工业”融合应用领域取得里程碑意义的国际成果，为全球制造业的数字化转型贡献了中国智慧与中国方案。</w:t>
      </w:r>
    </w:p>
    <w:p w:rsidR="00015D36"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C760A2">
        <w:rPr>
          <w:rFonts w:ascii="仿宋_GB2312" w:eastAsia="仿宋_GB2312" w:hint="eastAsia"/>
          <w:sz w:val="32"/>
          <w:szCs w:val="32"/>
        </w:rPr>
        <w:t>（来源：经济参考报）</w:t>
      </w:r>
    </w:p>
    <w:p w:rsidR="00015D36" w:rsidRDefault="00015D36" w:rsidP="009A1570">
      <w:pPr>
        <w:pStyle w:val="a5"/>
        <w:shd w:val="clear" w:color="auto" w:fill="FFFFFF"/>
        <w:spacing w:beforeAutospacing="0" w:afterAutospacing="0" w:line="600" w:lineRule="exact"/>
        <w:rPr>
          <w:rFonts w:ascii="仿宋_GB2312" w:eastAsia="仿宋_GB2312" w:hint="eastAsia"/>
          <w:sz w:val="32"/>
          <w:szCs w:val="32"/>
        </w:rPr>
      </w:pPr>
    </w:p>
    <w:p w:rsidR="00B46904" w:rsidRPr="00B46904" w:rsidRDefault="00B46904" w:rsidP="009A1570">
      <w:pPr>
        <w:pStyle w:val="a5"/>
        <w:shd w:val="clear" w:color="auto" w:fill="FFFFFF"/>
        <w:spacing w:beforeAutospacing="0" w:afterAutospacing="0" w:line="600" w:lineRule="exact"/>
        <w:jc w:val="center"/>
        <w:rPr>
          <w:rFonts w:ascii="方正小标宋简体" w:eastAsia="方正小标宋简体" w:hint="eastAsia"/>
          <w:sz w:val="44"/>
          <w:szCs w:val="44"/>
        </w:rPr>
      </w:pPr>
      <w:r w:rsidRPr="00B46904">
        <w:rPr>
          <w:rFonts w:ascii="方正小标宋简体" w:eastAsia="方正小标宋简体" w:hint="eastAsia"/>
          <w:sz w:val="44"/>
          <w:szCs w:val="44"/>
        </w:rPr>
        <w:t>我国形成300余项6G关键技术储备</w:t>
      </w:r>
    </w:p>
    <w:p w:rsidR="00B46904" w:rsidRPr="00B46904" w:rsidRDefault="00B46904" w:rsidP="009A1570">
      <w:pPr>
        <w:pStyle w:val="a5"/>
        <w:shd w:val="clear" w:color="auto" w:fill="FFFFFF"/>
        <w:spacing w:beforeAutospacing="0" w:afterAutospacing="0" w:line="600" w:lineRule="exact"/>
        <w:jc w:val="center"/>
        <w:rPr>
          <w:rFonts w:ascii="仿宋_GB2312" w:eastAsia="仿宋_GB2312" w:hint="eastAsia"/>
          <w:sz w:val="32"/>
          <w:szCs w:val="32"/>
        </w:rPr>
      </w:pPr>
      <w:r w:rsidRPr="00B46904">
        <w:rPr>
          <w:rFonts w:ascii="仿宋_GB2312" w:eastAsia="仿宋_GB2312" w:hint="eastAsia"/>
          <w:sz w:val="32"/>
          <w:szCs w:val="32"/>
        </w:rPr>
        <w:t>（2025-11-14）</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新华社北京11月13日电  近年来，工业和信息化部推进6G创新发展各项工作，取得积极进展。其中，体系化推动6G系统设计、网络架构和关键技术等创新研究，广泛开展6G技术征集，形成超300项的6G关键技术储备。</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工业和信息化部副部长张云明13日在北京举行的2025年6G发展大会上作出以上表述。</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当前，全球科技创新空前活跃。6G作为新一代智能化综合性数字信息基础设施，将突破传统移动通信范畴，实现通信与智能、感知、计算、安全等深度融合。目前，我国汇聚国内外产业链上下游百余家单位合力，组织全球主流设备企业全面参与6G技术试验，协同推进6G创新发展。6G推进组与欧洲6G-IA、韩国6G论坛等组织深化交流合作，共同推动6G技术研发和商业模式探索等。</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今年是6G标准化研究全面启动之年，6G发展正处于技术创新加速演进、产业方向愈发清晰的关键阶段，亟需各方进一步集思广益、凝聚共识。</w:t>
      </w:r>
    </w:p>
    <w:p w:rsidR="00B46904" w:rsidRP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张云明表示，面向未来，要持续加强关键核心技术攻关和融合技术方案研究，一体推进技术研发、标准研制、试验验证、应用培育等工作，为6G标准化产业化奠定坚实基础；深化移动通信产业和关联产业融合创新发展，强化资源集聚和产业协同；发挥应用牵引作用，前瞻布局和培育6G融合应用产业生态。</w:t>
      </w:r>
    </w:p>
    <w:p w:rsid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sidRPr="00B46904">
        <w:rPr>
          <w:rFonts w:ascii="仿宋_GB2312" w:eastAsia="仿宋_GB2312" w:hint="eastAsia"/>
          <w:sz w:val="32"/>
          <w:szCs w:val="32"/>
        </w:rPr>
        <w:t xml:space="preserve">    张云明提出，应充分考虑不同国家和地区6G发展动力和需求的差异，着力形成新业务新场景新模式发展共识，共同维护全球标准统一和产业协同，实现发展利益最大化；加强6G技术、标准、频谱等重要问题协调，深化标准制定、产业推进、建设应用等方面合作。</w:t>
      </w:r>
    </w:p>
    <w:p w:rsidR="00B46904" w:rsidRDefault="00B46904" w:rsidP="009A1570">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B46904">
        <w:rPr>
          <w:rFonts w:ascii="仿宋_GB2312" w:eastAsia="仿宋_GB2312" w:hint="eastAsia"/>
          <w:sz w:val="32"/>
          <w:szCs w:val="32"/>
        </w:rPr>
        <w:t>（来源：新华网）</w:t>
      </w:r>
    </w:p>
    <w:p w:rsidR="00B46904" w:rsidRPr="00C760A2" w:rsidRDefault="00B46904" w:rsidP="009A1570">
      <w:pPr>
        <w:pStyle w:val="a5"/>
        <w:shd w:val="clear" w:color="auto" w:fill="FFFFFF"/>
        <w:spacing w:beforeAutospacing="0" w:afterAutospacing="0" w:line="600" w:lineRule="exact"/>
        <w:rPr>
          <w:rFonts w:ascii="仿宋_GB2312" w:eastAsia="仿宋_GB2312"/>
          <w:sz w:val="32"/>
          <w:szCs w:val="32"/>
        </w:rPr>
      </w:pPr>
    </w:p>
    <w:p w:rsidR="00C760A2" w:rsidRPr="00015D36" w:rsidRDefault="00C760A2" w:rsidP="009A1570">
      <w:pPr>
        <w:pStyle w:val="a5"/>
        <w:shd w:val="clear" w:color="auto" w:fill="FFFFFF"/>
        <w:spacing w:beforeAutospacing="0" w:afterAutospacing="0" w:line="600" w:lineRule="exact"/>
        <w:jc w:val="center"/>
        <w:rPr>
          <w:rFonts w:ascii="方正小标宋简体" w:eastAsia="方正小标宋简体"/>
          <w:sz w:val="44"/>
          <w:szCs w:val="44"/>
        </w:rPr>
      </w:pPr>
      <w:r w:rsidRPr="00015D36">
        <w:rPr>
          <w:rFonts w:ascii="方正小标宋简体" w:eastAsia="方正小标宋简体" w:hint="eastAsia"/>
          <w:sz w:val="44"/>
          <w:szCs w:val="44"/>
        </w:rPr>
        <w:t>俄工业设计软件在困境中突围</w:t>
      </w:r>
    </w:p>
    <w:p w:rsidR="00C760A2" w:rsidRPr="00C760A2" w:rsidRDefault="00C760A2" w:rsidP="009A1570">
      <w:pPr>
        <w:pStyle w:val="a5"/>
        <w:shd w:val="clear" w:color="auto" w:fill="FFFFFF"/>
        <w:spacing w:beforeAutospacing="0" w:afterAutospacing="0" w:line="600" w:lineRule="exact"/>
        <w:jc w:val="center"/>
        <w:rPr>
          <w:rFonts w:ascii="仿宋_GB2312" w:eastAsia="仿宋_GB2312"/>
          <w:sz w:val="32"/>
          <w:szCs w:val="32"/>
        </w:rPr>
      </w:pPr>
      <w:r w:rsidRPr="00C760A2">
        <w:rPr>
          <w:rFonts w:ascii="仿宋_GB2312" w:eastAsia="仿宋_GB2312" w:hint="eastAsia"/>
          <w:sz w:val="32"/>
          <w:szCs w:val="32"/>
        </w:rPr>
        <w:t>（2025-11-12）</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11月8日，俄罗斯总理米舒斯京在俄发展高速交通运输战略会议上，介绍了俄交通运输领域发展规划。谈到这块“大蛋糕”，他同时也向与会官员和企业家提了个要求：凡参与基础设施建设的企业所用的软件，要向俄罗斯国产软件过渡。米舒斯京强调：“拿出来的解决方案和创新要能为国内科学、工业及相关领域提供额外的动力，并总体上加强技术主权。”</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工业设计软件是高端制造的“工业大脑”，但长期以来这个领域都被欧美企业垄断。关键软件、关键领域、关键行业的自主可控，是一个国家“独立自主”的细微注脚。俄乌冲突后，西方工业软件企业对俄罗斯的制裁，不仅对该国数字化设计和工业体系造成重大冲击，客观上加速了俄罗斯全面本土替代战略的实施。</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2022年2月24日，俄乌冲突发生。10天后，全球最大的二维、三维设计和工程软件公司——欧特克宣布完全遵守美国、欧盟等对俄制裁法规，对俄实施制裁，并立即暂停其在俄所有活动，包括产品销售、技术支持、订阅更新等服务。欧特克俄罗斯分公司于2023年10月彻底清算了其俄罗斯法人实体，并自2024年3月20日起，全面禁止之前已购买其产品的俄罗斯企业使用欧特克软件和云服务。</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欧特克的工业设计软件专注于机械工程、建筑、BIM设计等特定领域，被俄罗斯各行各业的工程师广泛使用。据俄罗斯软件开发商协会执行董事雷纳特·拉申介绍，被制裁前欧特克产品在俄罗斯建筑设计领域占据了80%至90%的市场份额。在机械工程领域，欧特克与其他几家西方企业共同占有80%的市场份额。</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突如其来的制裁导致俄罗斯企业无法续订欧特克软件，也无法购买或激活产品，甚至通过第三国购买的路径也被堵死。在过去的几十年里，俄罗斯工业企业已经对这些西方工业设计软件形成了绝对的路径依赖，断供直接导致了俄大量项目受阻，军工、教育、科研、工业设计行业陷入困境。</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俄罗斯政府随后出台多项应对措施，一方面建立单边软件许可机制，允许在无需开发商授权的情况下使用软件，通俗地说，就是鼓励用盗版、破解版；另一方面鼓励本土软件替代，另起炉灶斥资研发国产化系统。</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3年多过去了，由于多数西方工业设计软件需要定期激活和启用云端数据，“单边软件许可机制”这条路越走越窄。但山重水复之际，俄罗斯本土计算机辅助设计软件研发正在迎来柳暗花明的春天，nanoCAD、KOMPAS-3D、Renga等本土软件在逐步填补市场空白。虽然俄罗斯的进口替代计划还在路上，但该领域已经率先走出谷底。</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俄罗斯Nanosoft产品管理总监谢尔盖·西奇表示，由于高质量、即用型俄罗斯软件产品的普及，欧特克等授权软件在俄所占市场份额已大幅下降。</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俄工程软件开发商ASCON-Integration部门主管德米特里·德明表示，本土解决方案在技术和组织层面都进展顺利，最大的挑战在于对用户进行再培训，克服用户长期以来形成的基于外国软件的工作流程和使用习惯。他表示，俄罗斯国产软件在功能上与国外软件并无二致。</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欧特克事件只是西方制裁下的一个缩影。软件领域这样的例子仍有很多，如全球最大企业管理和协同商务解决方案供应商之一的德国思爱普公司终止了俄罗斯公司的云服务访问权限，微软、亚马逊等许多软件企业也都暂停了其在俄罗斯境内的云产品访问权限。</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受此影响，俄罗斯大型企业不得不启动国产软件迁移计划，选择俄本国软件供应商提供现有解决方案，或自行开发商业智能系统和客户关系管理系统。在这个过程中，那些流程高度数字化，过去多年来一直使用国外软件产品的俄罗斯企业，面临的实际困难也最大。</w:t>
      </w:r>
    </w:p>
    <w:p w:rsidR="00015D36" w:rsidRDefault="00C760A2" w:rsidP="009A1570">
      <w:pPr>
        <w:pStyle w:val="a5"/>
        <w:shd w:val="clear" w:color="auto" w:fill="FFFFFF"/>
        <w:spacing w:beforeAutospacing="0" w:afterAutospacing="0" w:line="600" w:lineRule="exact"/>
        <w:rPr>
          <w:rFonts w:ascii="仿宋_GB2312" w:eastAsia="仿宋_GB2312"/>
          <w:sz w:val="32"/>
          <w:szCs w:val="32"/>
        </w:rPr>
      </w:pPr>
      <w:r w:rsidRPr="00C760A2">
        <w:rPr>
          <w:rFonts w:ascii="仿宋_GB2312" w:eastAsia="仿宋_GB2312" w:hint="eastAsia"/>
          <w:sz w:val="32"/>
          <w:szCs w:val="32"/>
        </w:rPr>
        <w:t xml:space="preserve">　　“科技制裁”是当下西方国家不时举起的政治“大棒”。亡羊补牢，为时未晚。关键软件、关键领域、关键行业要做到全部“自主可控”很难，但再难也得撸起袖子去干，俄罗斯的教训告诉我们，等到狼烟四起再垒城墙，只会更难。</w:t>
      </w:r>
    </w:p>
    <w:p w:rsidR="00C760A2" w:rsidRPr="00C760A2" w:rsidRDefault="00015D36" w:rsidP="009A1570">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C760A2" w:rsidRPr="00C760A2">
        <w:rPr>
          <w:rFonts w:ascii="仿宋_GB2312" w:eastAsia="仿宋_GB2312" w:hint="eastAsia"/>
          <w:sz w:val="32"/>
          <w:szCs w:val="32"/>
        </w:rPr>
        <w:t>（来源：科技日报）</w:t>
      </w:r>
    </w:p>
    <w:p w:rsidR="00C760A2" w:rsidRPr="00C760A2" w:rsidRDefault="00C760A2" w:rsidP="009A1570">
      <w:pPr>
        <w:pStyle w:val="a5"/>
        <w:shd w:val="clear" w:color="auto" w:fill="FFFFFF"/>
        <w:spacing w:beforeAutospacing="0" w:afterAutospacing="0" w:line="600" w:lineRule="exact"/>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hint="eastAsia"/>
          <w:sz w:val="32"/>
          <w:szCs w:val="32"/>
        </w:rPr>
      </w:pPr>
    </w:p>
    <w:p w:rsidR="00487357" w:rsidRDefault="00487357" w:rsidP="00C760A2">
      <w:pPr>
        <w:pStyle w:val="a5"/>
        <w:shd w:val="clear" w:color="auto" w:fill="FFFFFF"/>
        <w:spacing w:beforeAutospacing="0" w:afterAutospacing="0"/>
        <w:rPr>
          <w:rFonts w:ascii="仿宋_GB2312" w:eastAsia="仿宋_GB2312" w:hint="eastAsia"/>
          <w:sz w:val="32"/>
          <w:szCs w:val="32"/>
        </w:rPr>
      </w:pPr>
    </w:p>
    <w:p w:rsidR="00487357" w:rsidRDefault="00487357" w:rsidP="00C760A2">
      <w:pPr>
        <w:pStyle w:val="a5"/>
        <w:shd w:val="clear" w:color="auto" w:fill="FFFFFF"/>
        <w:spacing w:beforeAutospacing="0" w:afterAutospacing="0"/>
        <w:rPr>
          <w:rFonts w:ascii="仿宋_GB2312" w:eastAsia="仿宋_GB2312" w:hint="eastAsia"/>
          <w:sz w:val="32"/>
          <w:szCs w:val="32"/>
        </w:rPr>
      </w:pPr>
    </w:p>
    <w:p w:rsidR="00487357" w:rsidRDefault="00487357" w:rsidP="00C760A2">
      <w:pPr>
        <w:pStyle w:val="a5"/>
        <w:shd w:val="clear" w:color="auto" w:fill="FFFFFF"/>
        <w:spacing w:beforeAutospacing="0" w:afterAutospacing="0"/>
        <w:rPr>
          <w:rFonts w:ascii="仿宋_GB2312" w:eastAsia="仿宋_GB2312" w:hint="eastAsia"/>
          <w:sz w:val="32"/>
          <w:szCs w:val="32"/>
        </w:rPr>
      </w:pPr>
    </w:p>
    <w:p w:rsidR="00487357" w:rsidRDefault="00487357" w:rsidP="00C760A2">
      <w:pPr>
        <w:pStyle w:val="a5"/>
        <w:shd w:val="clear" w:color="auto" w:fill="FFFFFF"/>
        <w:spacing w:beforeAutospacing="0" w:afterAutospacing="0"/>
        <w:rPr>
          <w:rFonts w:ascii="仿宋_GB2312" w:eastAsia="仿宋_GB2312" w:hint="eastAsia"/>
          <w:sz w:val="32"/>
          <w:szCs w:val="32"/>
        </w:rPr>
      </w:pPr>
    </w:p>
    <w:p w:rsidR="00C6020E" w:rsidRDefault="00C6020E" w:rsidP="00C760A2">
      <w:pPr>
        <w:pStyle w:val="a5"/>
        <w:shd w:val="clear" w:color="auto" w:fill="FFFFFF"/>
        <w:spacing w:beforeAutospacing="0" w:afterAutospacing="0"/>
        <w:rPr>
          <w:rFonts w:ascii="仿宋_GB2312" w:eastAsia="仿宋_GB2312"/>
          <w:sz w:val="32"/>
          <w:szCs w:val="32"/>
        </w:rPr>
      </w:pPr>
    </w:p>
    <w:p w:rsidR="00290E1A" w:rsidRDefault="00290E1A" w:rsidP="00C760A2">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D20DBC" w:rsidP="0057220B">
      <w:pPr>
        <w:pStyle w:val="a5"/>
        <w:shd w:val="clear" w:color="auto" w:fill="FFFFFF"/>
        <w:spacing w:beforeAutospacing="0" w:afterAutospacing="0" w:line="520" w:lineRule="exact"/>
        <w:jc w:val="both"/>
      </w:pPr>
      <w:r w:rsidRPr="00D20DBC">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D2B" w:rsidRDefault="009D0D2B">
      <w:pPr>
        <w:spacing w:line="240" w:lineRule="auto"/>
      </w:pPr>
      <w:r>
        <w:separator/>
      </w:r>
    </w:p>
  </w:endnote>
  <w:endnote w:type="continuationSeparator" w:id="0">
    <w:p w:rsidR="009D0D2B" w:rsidRDefault="009D0D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20DBC">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20DBC">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9D0D2B">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20DBC">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D2B" w:rsidRDefault="009D0D2B">
      <w:pPr>
        <w:spacing w:line="240" w:lineRule="auto"/>
      </w:pPr>
      <w:r>
        <w:separator/>
      </w:r>
    </w:p>
  </w:footnote>
  <w:footnote w:type="continuationSeparator" w:id="0">
    <w:p w:rsidR="009D0D2B" w:rsidRDefault="009D0D2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80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7104"/>
    <w:rsid w:val="000401FA"/>
    <w:rsid w:val="00043996"/>
    <w:rsid w:val="00043A2A"/>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080F"/>
    <w:rsid w:val="00093009"/>
    <w:rsid w:val="0009686E"/>
    <w:rsid w:val="000A1E9B"/>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5019"/>
    <w:rsid w:val="001A6629"/>
    <w:rsid w:val="001B387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17AA3"/>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4BB8"/>
    <w:rsid w:val="00527C18"/>
    <w:rsid w:val="00533A46"/>
    <w:rsid w:val="00534F83"/>
    <w:rsid w:val="00537D89"/>
    <w:rsid w:val="005411D3"/>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49FB"/>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C5935"/>
    <w:rsid w:val="008E2E74"/>
    <w:rsid w:val="008E5D3E"/>
    <w:rsid w:val="008F2B18"/>
    <w:rsid w:val="008F4A4D"/>
    <w:rsid w:val="00902033"/>
    <w:rsid w:val="0090716B"/>
    <w:rsid w:val="00917AF3"/>
    <w:rsid w:val="00920E2C"/>
    <w:rsid w:val="0092256C"/>
    <w:rsid w:val="00924DF2"/>
    <w:rsid w:val="00926E16"/>
    <w:rsid w:val="0093325A"/>
    <w:rsid w:val="00935017"/>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1570"/>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D0D2B"/>
    <w:rsid w:val="009E0924"/>
    <w:rsid w:val="009E2166"/>
    <w:rsid w:val="009E2C0B"/>
    <w:rsid w:val="009E4F86"/>
    <w:rsid w:val="009E730C"/>
    <w:rsid w:val="009E7C7D"/>
    <w:rsid w:val="009E7DF2"/>
    <w:rsid w:val="009F0380"/>
    <w:rsid w:val="009F782B"/>
    <w:rsid w:val="00A01DD6"/>
    <w:rsid w:val="00A05437"/>
    <w:rsid w:val="00A05886"/>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5F11"/>
    <w:rsid w:val="00AD70C7"/>
    <w:rsid w:val="00AD7FEF"/>
    <w:rsid w:val="00AE1A98"/>
    <w:rsid w:val="00AE3889"/>
    <w:rsid w:val="00AE4C21"/>
    <w:rsid w:val="00AE7EA4"/>
    <w:rsid w:val="00AF116A"/>
    <w:rsid w:val="00AF138C"/>
    <w:rsid w:val="00B052CE"/>
    <w:rsid w:val="00B220F5"/>
    <w:rsid w:val="00B24BDE"/>
    <w:rsid w:val="00B2770C"/>
    <w:rsid w:val="00B30E44"/>
    <w:rsid w:val="00B40B9A"/>
    <w:rsid w:val="00B4194E"/>
    <w:rsid w:val="00B41DDA"/>
    <w:rsid w:val="00B4521B"/>
    <w:rsid w:val="00B46904"/>
    <w:rsid w:val="00B46F1F"/>
    <w:rsid w:val="00B47746"/>
    <w:rsid w:val="00B523FB"/>
    <w:rsid w:val="00B52C8B"/>
    <w:rsid w:val="00B5320C"/>
    <w:rsid w:val="00B55DA6"/>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6868"/>
    <w:rsid w:val="00BF316F"/>
    <w:rsid w:val="00BF5C4C"/>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249F"/>
    <w:rsid w:val="00C436C8"/>
    <w:rsid w:val="00C44F08"/>
    <w:rsid w:val="00C51009"/>
    <w:rsid w:val="00C5194D"/>
    <w:rsid w:val="00C52FF4"/>
    <w:rsid w:val="00C56129"/>
    <w:rsid w:val="00C6020E"/>
    <w:rsid w:val="00C607DB"/>
    <w:rsid w:val="00C65EDF"/>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C07FB"/>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77C87"/>
    <w:rsid w:val="00D83355"/>
    <w:rsid w:val="00D91BFD"/>
    <w:rsid w:val="00D971B6"/>
    <w:rsid w:val="00DA321D"/>
    <w:rsid w:val="00DA3BEB"/>
    <w:rsid w:val="00DB117A"/>
    <w:rsid w:val="00DB1BD3"/>
    <w:rsid w:val="00DC225E"/>
    <w:rsid w:val="00DC2D0F"/>
    <w:rsid w:val="00DC626D"/>
    <w:rsid w:val="00DC6875"/>
    <w:rsid w:val="00DD2373"/>
    <w:rsid w:val="00DD3555"/>
    <w:rsid w:val="00DD3FA6"/>
    <w:rsid w:val="00DE1C71"/>
    <w:rsid w:val="00DE3F2F"/>
    <w:rsid w:val="00DE5394"/>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2147"/>
    <w:rsid w:val="00E6368E"/>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06D63"/>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0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4</cp:revision>
  <cp:lastPrinted>2025-08-01T01:12:00Z</cp:lastPrinted>
  <dcterms:created xsi:type="dcterms:W3CDTF">2025-11-13T06:05:00Z</dcterms:created>
  <dcterms:modified xsi:type="dcterms:W3CDTF">2025-11-14T01:34:00Z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